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E" w:rsidRDefault="003348CE" w:rsidP="003348CE">
      <w:pPr>
        <w:spacing w:before="120" w:after="120" w:line="240" w:lineRule="auto"/>
        <w:jc w:val="center"/>
        <w:rPr>
          <w:b/>
        </w:rPr>
      </w:pPr>
      <w:r>
        <w:rPr>
          <w:b/>
        </w:rPr>
        <w:t>Vzdělanostní struktura</w:t>
      </w:r>
    </w:p>
    <w:p w:rsidR="003348CE" w:rsidRPr="00906BAC" w:rsidRDefault="003348CE" w:rsidP="003348CE">
      <w:pPr>
        <w:spacing w:before="120" w:after="120" w:line="240" w:lineRule="auto"/>
        <w:jc w:val="center"/>
        <w:rPr>
          <w:b/>
          <w:sz w:val="20"/>
          <w:szCs w:val="20"/>
        </w:rPr>
      </w:pPr>
      <w:r w:rsidRPr="0010660A">
        <w:rPr>
          <w:b/>
          <w:sz w:val="20"/>
          <w:szCs w:val="20"/>
        </w:rPr>
        <w:t>Graf 5</w:t>
      </w:r>
      <w:r w:rsidRPr="00906BAC">
        <w:rPr>
          <w:b/>
          <w:sz w:val="20"/>
          <w:szCs w:val="20"/>
        </w:rPr>
        <w:t xml:space="preserve">: </w:t>
      </w:r>
      <w:r w:rsidRPr="00906BAC">
        <w:rPr>
          <w:rFonts w:ascii="Calibri" w:hAnsi="Calibri" w:cs="Arial"/>
          <w:b/>
          <w:bCs/>
          <w:sz w:val="20"/>
          <w:szCs w:val="20"/>
        </w:rPr>
        <w:t>Obyvatelé MAS ve věku 15 a více let podle nejvyššího dosaženého vzdělání</w:t>
      </w:r>
    </w:p>
    <w:p w:rsidR="003348CE" w:rsidRDefault="003348CE" w:rsidP="003348CE">
      <w:pPr>
        <w:spacing w:before="120" w:after="120" w:line="240" w:lineRule="auto"/>
        <w:rPr>
          <w:rFonts w:cs="Tahoma"/>
          <w:bCs/>
          <w:bdr w:val="none" w:sz="0" w:space="0" w:color="auto" w:frame="1"/>
          <w:shd w:val="clear" w:color="auto" w:fill="F5F5F5"/>
        </w:rPr>
      </w:pPr>
      <w:r w:rsidRPr="00FD495A">
        <w:rPr>
          <w:rFonts w:cs="Tahoma"/>
          <w:bCs/>
          <w:noProof/>
          <w:bdr w:val="none" w:sz="0" w:space="0" w:color="auto" w:frame="1"/>
          <w:shd w:val="clear" w:color="auto" w:fill="F5F5F5"/>
          <w:lang w:eastAsia="cs-CZ"/>
        </w:rPr>
        <w:drawing>
          <wp:inline distT="0" distB="0" distL="0" distR="0">
            <wp:extent cx="5848351" cy="2333624"/>
            <wp:effectExtent l="19050" t="0" r="0" b="0"/>
            <wp:docPr id="3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348CE" w:rsidRDefault="003348CE" w:rsidP="003348CE">
      <w:pPr>
        <w:spacing w:before="120" w:after="120" w:line="240" w:lineRule="auto"/>
        <w:jc w:val="center"/>
        <w:rPr>
          <w:color w:val="FF0000"/>
        </w:rPr>
      </w:pPr>
      <w:r w:rsidRPr="00B633BD">
        <w:rPr>
          <w:sz w:val="16"/>
          <w:szCs w:val="16"/>
        </w:rPr>
        <w:t>Zdroj SCLB 2011</w:t>
      </w:r>
    </w:p>
    <w:p w:rsidR="003348CE" w:rsidRPr="00906BAC" w:rsidRDefault="003348CE" w:rsidP="003348CE">
      <w:pPr>
        <w:spacing w:before="120" w:after="120" w:line="240" w:lineRule="auto"/>
        <w:jc w:val="center"/>
        <w:rPr>
          <w:sz w:val="20"/>
          <w:szCs w:val="20"/>
        </w:rPr>
      </w:pPr>
      <w:r w:rsidRPr="0010660A">
        <w:rPr>
          <w:rFonts w:cs="Tahoma"/>
          <w:b/>
          <w:bCs/>
          <w:sz w:val="20"/>
          <w:szCs w:val="20"/>
          <w:bdr w:val="none" w:sz="0" w:space="0" w:color="auto" w:frame="1"/>
          <w:shd w:val="clear" w:color="auto" w:fill="F5F5F5"/>
        </w:rPr>
        <w:t>Graf 6:</w:t>
      </w:r>
      <w:r w:rsidRPr="00906BAC">
        <w:rPr>
          <w:rFonts w:cs="Tahoma"/>
          <w:b/>
          <w:bCs/>
          <w:sz w:val="20"/>
          <w:szCs w:val="20"/>
          <w:bdr w:val="none" w:sz="0" w:space="0" w:color="auto" w:frame="1"/>
          <w:shd w:val="clear" w:color="auto" w:fill="F5F5F5"/>
        </w:rPr>
        <w:t xml:space="preserve"> Obyvatelé MAS ve věku 15 a více let podle vzdělání a podle velikostních skupin obcí</w:t>
      </w:r>
    </w:p>
    <w:p w:rsidR="003348CE" w:rsidRDefault="003348CE" w:rsidP="003348CE">
      <w:pPr>
        <w:spacing w:before="120" w:after="120" w:line="240" w:lineRule="auto"/>
        <w:rPr>
          <w:color w:val="FF0000"/>
        </w:rPr>
      </w:pPr>
      <w:r w:rsidRPr="00B663F7">
        <w:rPr>
          <w:noProof/>
          <w:color w:val="FF0000"/>
          <w:lang w:eastAsia="cs-CZ"/>
        </w:rPr>
        <w:drawing>
          <wp:inline distT="0" distB="0" distL="0" distR="0">
            <wp:extent cx="6210300" cy="250507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48CE" w:rsidRDefault="003348CE" w:rsidP="003348CE">
      <w:pPr>
        <w:spacing w:before="120" w:after="120" w:line="240" w:lineRule="auto"/>
        <w:jc w:val="center"/>
        <w:rPr>
          <w:sz w:val="16"/>
          <w:szCs w:val="16"/>
        </w:rPr>
      </w:pPr>
      <w:r w:rsidRPr="00B633BD">
        <w:rPr>
          <w:sz w:val="16"/>
          <w:szCs w:val="16"/>
        </w:rPr>
        <w:t>Zdroj SCLB 2011</w:t>
      </w:r>
    </w:p>
    <w:p w:rsidR="003348CE" w:rsidRPr="00906BAC" w:rsidRDefault="003348CE" w:rsidP="003348CE">
      <w:pPr>
        <w:spacing w:before="120" w:after="12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0660A">
        <w:rPr>
          <w:b/>
          <w:sz w:val="20"/>
          <w:szCs w:val="20"/>
        </w:rPr>
        <w:t>Tab. 7:</w:t>
      </w:r>
      <w:r w:rsidRPr="00906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Srovnání vzdělanostní struktury na území MAS, PK, KK, ÚK a ČR</w:t>
      </w:r>
    </w:p>
    <w:tbl>
      <w:tblPr>
        <w:tblW w:w="971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850"/>
        <w:gridCol w:w="1276"/>
        <w:gridCol w:w="1220"/>
        <w:gridCol w:w="1048"/>
        <w:gridCol w:w="992"/>
        <w:gridCol w:w="992"/>
        <w:gridCol w:w="859"/>
        <w:gridCol w:w="910"/>
      </w:tblGrid>
      <w:tr w:rsidR="003348CE" w:rsidRPr="002C59B9" w:rsidTr="00AF3A46">
        <w:trPr>
          <w:trHeight w:val="24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Území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Nejvyšší ukončené vzdělání (věk 15 a více) %</w:t>
            </w:r>
          </w:p>
        </w:tc>
      </w:tr>
      <w:tr w:rsidR="003348CE" w:rsidRPr="002C59B9" w:rsidTr="00AF3A46">
        <w:trPr>
          <w:trHeight w:val="96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bez vzdělání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základní vč. neukončeného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střední vč. vyučení (bez maturity)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úplné střední s maturitou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nástavbové studium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vyšší odborné vzdělání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vysokoškolské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  <w:t>nezjištěno</w:t>
            </w:r>
          </w:p>
        </w:tc>
      </w:tr>
      <w:tr w:rsidR="003348CE" w:rsidRPr="002C59B9" w:rsidTr="00AF3A46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MAS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23,9%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37,0%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22,9%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0,7%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6,3%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5,9%</w:t>
            </w:r>
          </w:p>
        </w:tc>
      </w:tr>
      <w:tr w:rsidR="003348CE" w:rsidRPr="002C59B9" w:rsidTr="00AF3A46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Plzeňský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18,1%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34,7%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1,1%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5,4%</w:t>
            </w:r>
          </w:p>
        </w:tc>
      </w:tr>
      <w:tr w:rsidR="003348CE" w:rsidRPr="002C59B9" w:rsidTr="00AF3A46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Karlovarský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22,4%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34,3%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1,0%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7,0%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7,7%</w:t>
            </w:r>
          </w:p>
        </w:tc>
      </w:tr>
      <w:tr w:rsidR="003348CE" w:rsidRPr="002C59B9" w:rsidTr="00AF3A46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Ústecký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21,7%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34,9%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7,6%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6,8%</w:t>
            </w:r>
          </w:p>
        </w:tc>
      </w:tr>
      <w:tr w:rsidR="003348CE" w:rsidRPr="002C59B9" w:rsidTr="00AF3A46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8CE" w:rsidRPr="002C59B9" w:rsidRDefault="003348CE" w:rsidP="00AF3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17,6%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33,0%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1,3%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sz w:val="18"/>
                <w:szCs w:val="18"/>
                <w:lang w:eastAsia="cs-CZ"/>
              </w:rPr>
              <w:t>12,5%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E" w:rsidRPr="002C59B9" w:rsidRDefault="003348CE" w:rsidP="00AF3A4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C59B9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5,3%</w:t>
            </w:r>
          </w:p>
        </w:tc>
      </w:tr>
    </w:tbl>
    <w:p w:rsidR="003348CE" w:rsidRDefault="003348CE" w:rsidP="003348CE">
      <w:pPr>
        <w:spacing w:before="120" w:after="120" w:line="240" w:lineRule="auto"/>
        <w:jc w:val="center"/>
        <w:rPr>
          <w:color w:val="FF0000"/>
        </w:rPr>
      </w:pPr>
      <w:r w:rsidRPr="00B633BD">
        <w:rPr>
          <w:sz w:val="16"/>
          <w:szCs w:val="16"/>
        </w:rPr>
        <w:t>Zdroj SCLB 2011</w:t>
      </w:r>
    </w:p>
    <w:p w:rsidR="003348CE" w:rsidRPr="002206FC" w:rsidRDefault="003348CE" w:rsidP="003348CE">
      <w:pPr>
        <w:spacing w:before="120" w:after="120" w:line="240" w:lineRule="auto"/>
        <w:jc w:val="both"/>
      </w:pPr>
      <w:r w:rsidRPr="002206FC">
        <w:t>Pro území je charakteristická velmi špatná vzdělanostní struktura obyvatelstva a to jak ve srovnání s kraji, na jejichž území se nachází, tak s celou Českou republikou. Tento stav v podstatě kopíruje velikost sídel, tzn. čím menší sídlo, tím horší vzdělanostní struktura obyvatel.</w:t>
      </w:r>
    </w:p>
    <w:sectPr w:rsidR="003348CE" w:rsidRPr="002206FC" w:rsidSect="0003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8CE"/>
    <w:rsid w:val="00032671"/>
    <w:rsid w:val="00313ECB"/>
    <w:rsid w:val="003348CE"/>
    <w:rsid w:val="007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pr&#225;ce\20140819%20-%20SCLLD%20MAS%20Vlada&#345;%20o.p.s\20140827%20-%20Statistick&#225;%20data%20MAS%20Vlada&#34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pr&#225;ce\20140819%20-%20SCLLD%20MAS%20Vlada&#345;%20o.p.s\20140827%20-%20Statistick&#225;%20data%20MAS%20Vlada&#3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8423772609819296E-2"/>
          <c:y val="6.4327485380117039E-2"/>
          <c:w val="0.63666610423697034"/>
          <c:h val="0.8975773303668455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'SLDB 2011'!$B$109:$I$109</c:f>
              <c:strCache>
                <c:ptCount val="8"/>
                <c:pt idx="0">
                  <c:v>bez vzdělání</c:v>
                </c:pt>
                <c:pt idx="1">
                  <c:v>základní vč. neukončeného</c:v>
                </c:pt>
                <c:pt idx="2">
                  <c:v>střední vč. vyučení (bez maturity)</c:v>
                </c:pt>
                <c:pt idx="3">
                  <c:v>úplné střední s maturitou</c:v>
                </c:pt>
                <c:pt idx="4">
                  <c:v>nástavbové studium</c:v>
                </c:pt>
                <c:pt idx="5">
                  <c:v>vyšší odborné vzdělání</c:v>
                </c:pt>
                <c:pt idx="6">
                  <c:v>vysokoškolské</c:v>
                </c:pt>
                <c:pt idx="7">
                  <c:v>Nezjištěno</c:v>
                </c:pt>
              </c:strCache>
            </c:strRef>
          </c:cat>
          <c:val>
            <c:numRef>
              <c:f>'SLDB 2011'!$B$118:$I$118</c:f>
              <c:numCache>
                <c:formatCode>0.0%</c:formatCode>
                <c:ptCount val="8"/>
                <c:pt idx="0">
                  <c:v>9.422697912620721E-3</c:v>
                </c:pt>
                <c:pt idx="1">
                  <c:v>0.23925021219052595</c:v>
                </c:pt>
                <c:pt idx="2">
                  <c:v>0.3696574741415275</c:v>
                </c:pt>
                <c:pt idx="3">
                  <c:v>0.22942471192438818</c:v>
                </c:pt>
                <c:pt idx="4">
                  <c:v>2.308920633550559E-2</c:v>
                </c:pt>
                <c:pt idx="5">
                  <c:v>7.3223713549983504E-3</c:v>
                </c:pt>
                <c:pt idx="6">
                  <c:v>6.3182426308748235E-2</c:v>
                </c:pt>
                <c:pt idx="7">
                  <c:v>5.8650899831686164E-2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74526169855973"/>
          <c:y val="4.5748031496062998E-2"/>
          <c:w val="0.33813172294207489"/>
          <c:h val="0.9233381213083165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2088553210781655"/>
          <c:y val="1.6783928624891482E-2"/>
          <c:w val="0.6762524799665206"/>
          <c:h val="0.8976162390347594"/>
        </c:manualLayout>
      </c:layout>
      <c:barChart>
        <c:barDir val="bar"/>
        <c:grouping val="stacked"/>
        <c:ser>
          <c:idx val="0"/>
          <c:order val="0"/>
          <c:tx>
            <c:strRef>
              <c:f>'SLDB 2011'!$B$109</c:f>
              <c:strCache>
                <c:ptCount val="1"/>
                <c:pt idx="0">
                  <c:v>bez vzdělání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2011'!$B$110:$B$115</c:f>
              <c:numCache>
                <c:formatCode>0.0%</c:formatCode>
                <c:ptCount val="6"/>
                <c:pt idx="0">
                  <c:v>8.8351417764157246E-3</c:v>
                </c:pt>
                <c:pt idx="1">
                  <c:v>8.9126559714795047E-3</c:v>
                </c:pt>
                <c:pt idx="2">
                  <c:v>6.7190850607576893E-3</c:v>
                </c:pt>
                <c:pt idx="3">
                  <c:v>1.3220304773438303E-2</c:v>
                </c:pt>
                <c:pt idx="4">
                  <c:v>1.0473696738871698E-2</c:v>
                </c:pt>
                <c:pt idx="5">
                  <c:v>1.3415892672858616E-2</c:v>
                </c:pt>
              </c:numCache>
            </c:numRef>
          </c:val>
        </c:ser>
        <c:ser>
          <c:idx val="1"/>
          <c:order val="1"/>
          <c:tx>
            <c:strRef>
              <c:f>'SLDB 2011'!$C$109</c:f>
              <c:strCache>
                <c:ptCount val="1"/>
                <c:pt idx="0">
                  <c:v>základní vč. neukončeného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2011'!$C$110:$C$115</c:f>
              <c:numCache>
                <c:formatCode>0.0%</c:formatCode>
                <c:ptCount val="6"/>
                <c:pt idx="0">
                  <c:v>0.21709599933736531</c:v>
                </c:pt>
                <c:pt idx="1">
                  <c:v>0.25918003565062386</c:v>
                </c:pt>
                <c:pt idx="2">
                  <c:v>0.25303788420300216</c:v>
                </c:pt>
                <c:pt idx="3">
                  <c:v>0.27338782924613986</c:v>
                </c:pt>
                <c:pt idx="4">
                  <c:v>0.25684360866460382</c:v>
                </c:pt>
                <c:pt idx="5">
                  <c:v>0.31166150670794723</c:v>
                </c:pt>
              </c:numCache>
            </c:numRef>
          </c:val>
        </c:ser>
        <c:ser>
          <c:idx val="2"/>
          <c:order val="2"/>
          <c:tx>
            <c:strRef>
              <c:f>'SLDB 2011'!$D$109</c:f>
              <c:strCache>
                <c:ptCount val="1"/>
                <c:pt idx="0">
                  <c:v>střední vč. vyučení (bez maturity)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2011'!$D$110:$D$115</c:f>
              <c:numCache>
                <c:formatCode>0.0%</c:formatCode>
                <c:ptCount val="6"/>
                <c:pt idx="0">
                  <c:v>0.34067754493497887</c:v>
                </c:pt>
                <c:pt idx="1">
                  <c:v>0.39661319073083867</c:v>
                </c:pt>
                <c:pt idx="2">
                  <c:v>0.40657612580414726</c:v>
                </c:pt>
                <c:pt idx="3">
                  <c:v>0.40064587748511454</c:v>
                </c:pt>
                <c:pt idx="4">
                  <c:v>0.40252320875982006</c:v>
                </c:pt>
                <c:pt idx="5">
                  <c:v>0.4148606811145536</c:v>
                </c:pt>
              </c:numCache>
            </c:numRef>
          </c:val>
        </c:ser>
        <c:ser>
          <c:idx val="3"/>
          <c:order val="3"/>
          <c:tx>
            <c:strRef>
              <c:f>'SLDB 2011'!$E$109</c:f>
              <c:strCache>
                <c:ptCount val="1"/>
                <c:pt idx="0">
                  <c:v>úplné střední s maturitou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2011'!$E$110:$E$115</c:f>
              <c:numCache>
                <c:formatCode>0.0%</c:formatCode>
                <c:ptCount val="6"/>
                <c:pt idx="0">
                  <c:v>0.25671608824097847</c:v>
                </c:pt>
                <c:pt idx="1">
                  <c:v>0.20356506238859179</c:v>
                </c:pt>
                <c:pt idx="2">
                  <c:v>0.2170121515368128</c:v>
                </c:pt>
                <c:pt idx="3">
                  <c:v>0.19446967403370669</c:v>
                </c:pt>
                <c:pt idx="4">
                  <c:v>0.18543203999047925</c:v>
                </c:pt>
                <c:pt idx="5">
                  <c:v>0.14654282765737894</c:v>
                </c:pt>
              </c:numCache>
            </c:numRef>
          </c:val>
        </c:ser>
        <c:ser>
          <c:idx val="4"/>
          <c:order val="4"/>
          <c:tx>
            <c:strRef>
              <c:f>'SLDB 2011'!$F$109</c:f>
              <c:strCache>
                <c:ptCount val="1"/>
                <c:pt idx="0">
                  <c:v>nástavbové studium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2011'!$F$110:$F$115</c:f>
              <c:numCache>
                <c:formatCode>0.0%</c:formatCode>
                <c:ptCount val="6"/>
                <c:pt idx="0">
                  <c:v>2.7747867141555638E-2</c:v>
                </c:pt>
                <c:pt idx="1">
                  <c:v>1.8270944741532985E-2</c:v>
                </c:pt>
                <c:pt idx="2">
                  <c:v>1.8298784846318843E-2</c:v>
                </c:pt>
                <c:pt idx="3">
                  <c:v>1.7660712483600766E-2</c:v>
                </c:pt>
                <c:pt idx="4">
                  <c:v>1.8090930730778387E-2</c:v>
                </c:pt>
                <c:pt idx="5">
                  <c:v>1.6511867905056762E-2</c:v>
                </c:pt>
              </c:numCache>
            </c:numRef>
          </c:val>
        </c:ser>
        <c:ser>
          <c:idx val="5"/>
          <c:order val="5"/>
          <c:tx>
            <c:strRef>
              <c:f>'SLDB 2011'!$G$109</c:f>
              <c:strCache>
                <c:ptCount val="1"/>
                <c:pt idx="0">
                  <c:v>vyšší odborné vzdělání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2011'!$G$110:$G$115</c:f>
              <c:numCache>
                <c:formatCode>0.0%</c:formatCode>
                <c:ptCount val="6"/>
                <c:pt idx="0">
                  <c:v>9.0836301388774292E-3</c:v>
                </c:pt>
                <c:pt idx="1">
                  <c:v>6.6844919786096324E-3</c:v>
                </c:pt>
                <c:pt idx="2">
                  <c:v>4.1458184417441134E-3</c:v>
                </c:pt>
                <c:pt idx="3">
                  <c:v>4.4404077101624934E-3</c:v>
                </c:pt>
                <c:pt idx="4">
                  <c:v>6.4270411806712936E-3</c:v>
                </c:pt>
                <c:pt idx="5">
                  <c:v>5.1599587203302374E-3</c:v>
                </c:pt>
              </c:numCache>
            </c:numRef>
          </c:val>
        </c:ser>
        <c:ser>
          <c:idx val="6"/>
          <c:order val="6"/>
          <c:tx>
            <c:strRef>
              <c:f>'SLDB 2011'!$H$109</c:f>
              <c:strCache>
                <c:ptCount val="1"/>
                <c:pt idx="0">
                  <c:v>vysokoškolské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2011'!$H$110:$H$115</c:f>
              <c:numCache>
                <c:formatCode>0.0%</c:formatCode>
                <c:ptCount val="6"/>
                <c:pt idx="0">
                  <c:v>7.9599105441895135E-2</c:v>
                </c:pt>
                <c:pt idx="1">
                  <c:v>4.7415329768270946E-2</c:v>
                </c:pt>
                <c:pt idx="2">
                  <c:v>4.7748391708363119E-2</c:v>
                </c:pt>
                <c:pt idx="3">
                  <c:v>4.2284791603592713E-2</c:v>
                </c:pt>
                <c:pt idx="4">
                  <c:v>4.689359676267555E-2</c:v>
                </c:pt>
                <c:pt idx="5">
                  <c:v>2.7863777089783461E-2</c:v>
                </c:pt>
              </c:numCache>
            </c:numRef>
          </c:val>
        </c:ser>
        <c:ser>
          <c:idx val="7"/>
          <c:order val="7"/>
          <c:tx>
            <c:strRef>
              <c:f>'SLDB 2011'!$I$109</c:f>
              <c:strCache>
                <c:ptCount val="1"/>
                <c:pt idx="0">
                  <c:v>Nezjištěno</c:v>
                </c:pt>
              </c:strCache>
            </c:strRef>
          </c:tx>
          <c:cat>
            <c:strRef>
              <c:f>'SLDB 2011'!$A$110:$A$115</c:f>
              <c:strCache>
                <c:ptCount val="6"/>
                <c:pt idx="0">
                  <c:v>5000+ obyvatel</c:v>
                </c:pt>
                <c:pt idx="1">
                  <c:v>2000-4999 obyvatel</c:v>
                </c:pt>
                <c:pt idx="2">
                  <c:v>1000-1999 obyvatel</c:v>
                </c:pt>
                <c:pt idx="3">
                  <c:v>500-999 obyvatel</c:v>
                </c:pt>
                <c:pt idx="4">
                  <c:v>200-499 obyvatel</c:v>
                </c:pt>
                <c:pt idx="5">
                  <c:v>1-199 obyvatel</c:v>
                </c:pt>
              </c:strCache>
            </c:strRef>
          </c:cat>
          <c:val>
            <c:numRef>
              <c:f>'SLDB 2011'!$I$110:$I$115</c:f>
              <c:numCache>
                <c:formatCode>0.0%</c:formatCode>
                <c:ptCount val="6"/>
                <c:pt idx="0">
                  <c:v>6.024462298793451E-2</c:v>
                </c:pt>
                <c:pt idx="1">
                  <c:v>5.9358288770053474E-2</c:v>
                </c:pt>
                <c:pt idx="2">
                  <c:v>4.6461758398856315E-2</c:v>
                </c:pt>
                <c:pt idx="3">
                  <c:v>5.3890402664244628E-2</c:v>
                </c:pt>
                <c:pt idx="4">
                  <c:v>7.3315877172101904E-2</c:v>
                </c:pt>
                <c:pt idx="5">
                  <c:v>6.3983488132094937E-2</c:v>
                </c:pt>
              </c:numCache>
            </c:numRef>
          </c:val>
        </c:ser>
        <c:gapWidth val="30"/>
        <c:overlap val="100"/>
        <c:axId val="109492864"/>
        <c:axId val="109494656"/>
      </c:barChart>
      <c:catAx>
        <c:axId val="10949286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9494656"/>
        <c:crosses val="autoZero"/>
        <c:auto val="1"/>
        <c:lblAlgn val="ctr"/>
        <c:lblOffset val="100"/>
      </c:catAx>
      <c:valAx>
        <c:axId val="109494656"/>
        <c:scaling>
          <c:orientation val="minMax"/>
          <c:max val="1"/>
        </c:scaling>
        <c:axPos val="b"/>
        <c:majorGridlines/>
        <c:numFmt formatCode="0.0%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949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07099872901711"/>
          <c:y val="9.2356117082322872E-2"/>
          <c:w val="0.18907117019545241"/>
          <c:h val="0.76339909982735044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Cert</cp:lastModifiedBy>
  <cp:revision>1</cp:revision>
  <dcterms:created xsi:type="dcterms:W3CDTF">2014-10-20T05:09:00Z</dcterms:created>
  <dcterms:modified xsi:type="dcterms:W3CDTF">2014-10-20T05:10:00Z</dcterms:modified>
</cp:coreProperties>
</file>