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2143" w14:textId="4424E9A0" w:rsidR="00713948" w:rsidRPr="00E14205" w:rsidRDefault="0066390D" w:rsidP="00E14205">
      <w:pPr>
        <w:jc w:val="center"/>
        <w:rPr>
          <w:b/>
          <w:sz w:val="28"/>
          <w:szCs w:val="28"/>
          <w:u w:val="single"/>
        </w:rPr>
      </w:pPr>
      <w:r w:rsidRPr="00E14205">
        <w:rPr>
          <w:b/>
          <w:sz w:val="28"/>
          <w:szCs w:val="28"/>
          <w:u w:val="single"/>
        </w:rPr>
        <w:t xml:space="preserve">Program Regenerace </w:t>
      </w:r>
      <w:proofErr w:type="spellStart"/>
      <w:r w:rsidRPr="00E14205">
        <w:rPr>
          <w:b/>
          <w:sz w:val="28"/>
          <w:szCs w:val="28"/>
          <w:u w:val="single"/>
        </w:rPr>
        <w:t>brownfieldů</w:t>
      </w:r>
      <w:proofErr w:type="spellEnd"/>
      <w:r w:rsidRPr="00E14205">
        <w:rPr>
          <w:b/>
          <w:sz w:val="28"/>
          <w:szCs w:val="28"/>
          <w:u w:val="single"/>
        </w:rPr>
        <w:t xml:space="preserve"> pro podnikatelské využití</w:t>
      </w:r>
    </w:p>
    <w:p w14:paraId="57238075" w14:textId="2C0F4AC5" w:rsidR="0066390D" w:rsidRDefault="0066390D" w:rsidP="00E14205">
      <w:pPr>
        <w:jc w:val="center"/>
        <w:rPr>
          <w:b/>
          <w:sz w:val="28"/>
          <w:szCs w:val="28"/>
          <w:u w:val="single"/>
        </w:rPr>
      </w:pPr>
      <w:r w:rsidRPr="00E14205">
        <w:rPr>
          <w:b/>
          <w:sz w:val="28"/>
          <w:szCs w:val="28"/>
          <w:u w:val="single"/>
        </w:rPr>
        <w:t xml:space="preserve">Příloha </w:t>
      </w:r>
      <w:r w:rsidR="00C1785E">
        <w:rPr>
          <w:b/>
          <w:sz w:val="28"/>
          <w:szCs w:val="28"/>
          <w:u w:val="single"/>
        </w:rPr>
        <w:t>Podporované aktivity</w:t>
      </w:r>
    </w:p>
    <w:p w14:paraId="235EF68E" w14:textId="77777777" w:rsidR="0035309B" w:rsidRPr="002602DA" w:rsidRDefault="0035309B" w:rsidP="005B5DC7">
      <w:pPr>
        <w:spacing w:before="0" w:beforeAutospacing="0" w:after="0" w:afterAutospacing="0"/>
        <w:jc w:val="center"/>
        <w:rPr>
          <w:b/>
          <w:u w:val="single"/>
        </w:rPr>
      </w:pPr>
    </w:p>
    <w:p w14:paraId="3969B619" w14:textId="0C27345D" w:rsidR="00873035" w:rsidRPr="000163D3" w:rsidRDefault="00961C5C" w:rsidP="002602DA">
      <w:pPr>
        <w:pStyle w:val="Nadpis2"/>
        <w:keepLines w:val="0"/>
        <w:numPr>
          <w:ilvl w:val="0"/>
          <w:numId w:val="45"/>
        </w:numPr>
        <w:spacing w:before="0" w:beforeAutospacing="0" w:after="120" w:afterAutospacing="0"/>
        <w:ind w:left="357" w:hanging="357"/>
        <w:rPr>
          <w:sz w:val="28"/>
          <w:szCs w:val="28"/>
        </w:rPr>
      </w:pPr>
      <w:r w:rsidRPr="000163D3">
        <w:rPr>
          <w:sz w:val="28"/>
          <w:szCs w:val="28"/>
        </w:rPr>
        <w:t>Základní pojmy</w:t>
      </w:r>
    </w:p>
    <w:p w14:paraId="4C5F78DC" w14:textId="544E52A5" w:rsidR="00873035" w:rsidRPr="002602DA" w:rsidRDefault="00873035" w:rsidP="00F951AE">
      <w:pPr>
        <w:spacing w:before="0" w:beforeAutospacing="0" w:after="120" w:afterAutospacing="0"/>
      </w:pPr>
      <w:proofErr w:type="spellStart"/>
      <w:r w:rsidRPr="00F951AE">
        <w:rPr>
          <w:b/>
          <w:u w:val="single"/>
        </w:rPr>
        <w:t>Brownfieldem</w:t>
      </w:r>
      <w:proofErr w:type="spellEnd"/>
      <w:r w:rsidRPr="002602DA">
        <w:t xml:space="preserve"> se rozumí </w:t>
      </w:r>
      <w:r w:rsidRPr="00F951AE">
        <w:rPr>
          <w:b/>
        </w:rPr>
        <w:t>plocha nebo budova</w:t>
      </w:r>
      <w:r w:rsidRPr="002602DA">
        <w:t xml:space="preserve">, která je ovlivněna dřívějším využitím, je zanedbaná, opuštěná nebo nedostatečně využívaná, může mít reálné nebo předpokládané problémy s kontaminací, nachází se většinou v zastavěných územích a k návratu ke smysluplnému využití vyžaduje aktivní intervenci. </w:t>
      </w:r>
      <w:proofErr w:type="spellStart"/>
      <w:r w:rsidRPr="002602DA">
        <w:t>Brownfieldem</w:t>
      </w:r>
      <w:proofErr w:type="spellEnd"/>
      <w:r w:rsidRPr="002602DA">
        <w:t>, může být i lokalita, která je využívána k původnímu účelu, ale ne úplně.</w:t>
      </w:r>
    </w:p>
    <w:p w14:paraId="05AC6CE9" w14:textId="77777777" w:rsidR="00873035" w:rsidRPr="002602DA" w:rsidRDefault="00873035" w:rsidP="002602DA">
      <w:pPr>
        <w:pStyle w:val="Nadpis2"/>
        <w:keepLines w:val="0"/>
        <w:spacing w:before="0" w:beforeAutospacing="0" w:after="120" w:afterAutospacing="0"/>
        <w:rPr>
          <w:sz w:val="22"/>
          <w:szCs w:val="22"/>
        </w:rPr>
      </w:pPr>
      <w:r w:rsidRPr="002602DA">
        <w:rPr>
          <w:sz w:val="22"/>
          <w:szCs w:val="22"/>
        </w:rPr>
        <w:t>Zpevněná plocha</w:t>
      </w:r>
    </w:p>
    <w:p w14:paraId="42DAEA15" w14:textId="728152CD" w:rsidR="00873035" w:rsidRPr="002602DA" w:rsidRDefault="00873035" w:rsidP="007D1731">
      <w:pPr>
        <w:spacing w:before="0" w:beforeAutospacing="0" w:after="120" w:afterAutospacing="0"/>
      </w:pPr>
      <w:r w:rsidRPr="002602DA">
        <w:t xml:space="preserve">V rámci řešeného </w:t>
      </w:r>
      <w:proofErr w:type="spellStart"/>
      <w:r w:rsidRPr="002602DA">
        <w:t>brownfieldu</w:t>
      </w:r>
      <w:proofErr w:type="spellEnd"/>
      <w:r w:rsidRPr="002602DA">
        <w:t xml:space="preserve"> nesmí dojít k navýšení zpevněných ploch o více n</w:t>
      </w:r>
      <w:r w:rsidR="004B5FCB" w:rsidRPr="002602DA">
        <w:t>e</w:t>
      </w:r>
      <w:r w:rsidRPr="002602DA">
        <w:t xml:space="preserve">ž 5 % oproti stávajícímu stavu celého řešeného </w:t>
      </w:r>
      <w:proofErr w:type="spellStart"/>
      <w:r w:rsidRPr="002602DA">
        <w:t>brownfieldu</w:t>
      </w:r>
      <w:proofErr w:type="spellEnd"/>
      <w:r w:rsidRPr="002602DA">
        <w:t xml:space="preserve"> (v rámci smyslu žádosti o dotaci). Zastavěná plocha budov řešeného území se může rozšířit, je-li splněna předchozí podmínka pro území </w:t>
      </w:r>
      <w:proofErr w:type="spellStart"/>
      <w:r w:rsidRPr="002602DA">
        <w:t>brownfieldu</w:t>
      </w:r>
      <w:proofErr w:type="spellEnd"/>
      <w:r w:rsidRPr="002602DA">
        <w:t xml:space="preserve"> jako celek a nedojde-li k záboru zemědělské půdy o více než 5 % (např. lze nahradit „asfalt“ plochou přístavby budovy)</w:t>
      </w:r>
    </w:p>
    <w:p w14:paraId="6352ED63" w14:textId="77777777" w:rsidR="00873035" w:rsidRPr="002602DA" w:rsidRDefault="00873035" w:rsidP="002602DA">
      <w:pPr>
        <w:pStyle w:val="Nadpis2"/>
        <w:keepLines w:val="0"/>
        <w:spacing w:before="0" w:beforeAutospacing="0" w:after="120" w:afterAutospacing="0"/>
        <w:rPr>
          <w:sz w:val="22"/>
          <w:szCs w:val="22"/>
        </w:rPr>
      </w:pPr>
      <w:r w:rsidRPr="002602DA">
        <w:rPr>
          <w:sz w:val="22"/>
          <w:szCs w:val="22"/>
        </w:rPr>
        <w:t>Energeticky vztažná plocha budovy</w:t>
      </w:r>
    </w:p>
    <w:p w14:paraId="7F69CCEC" w14:textId="066AF947" w:rsidR="00873035" w:rsidRPr="00735300" w:rsidRDefault="002602DA" w:rsidP="004B1BA3">
      <w:pPr>
        <w:pStyle w:val="Odstavecseseznamem"/>
        <w:numPr>
          <w:ilvl w:val="0"/>
          <w:numId w:val="57"/>
        </w:numPr>
        <w:spacing w:before="0" w:beforeAutospacing="0" w:after="120" w:afterAutospacing="0"/>
        <w:ind w:hanging="436"/>
        <w:contextualSpacing w:val="0"/>
        <w:rPr>
          <w:shd w:val="clear" w:color="auto" w:fill="FFFFFF"/>
        </w:rPr>
      </w:pPr>
      <w:r w:rsidRPr="002602DA">
        <w:t>Dle § 2 odst. 1 písm</w:t>
      </w:r>
      <w:r w:rsidR="00AE6034">
        <w:t>.</w:t>
      </w:r>
      <w:r w:rsidRPr="002602DA">
        <w:t xml:space="preserve"> r) zákona </w:t>
      </w:r>
      <w:r w:rsidR="00735300">
        <w:t xml:space="preserve">č. </w:t>
      </w:r>
      <w:r w:rsidRPr="002602DA">
        <w:t>406/2000 Sb., o hospodaření energií,</w:t>
      </w:r>
      <w:r w:rsidRPr="002602DA">
        <w:rPr>
          <w:lang w:eastAsia="cs-CZ"/>
        </w:rPr>
        <w:t xml:space="preserve"> ve znění pozdějších předpisů (dále jen „zákon“)</w:t>
      </w:r>
      <w:r w:rsidRPr="002602DA">
        <w:t xml:space="preserve">, se </w:t>
      </w:r>
      <w:r w:rsidRPr="00735300">
        <w:rPr>
          <w:b/>
        </w:rPr>
        <w:t>c</w:t>
      </w:r>
      <w:r w:rsidR="00873035" w:rsidRPr="00735300">
        <w:rPr>
          <w:b/>
        </w:rPr>
        <w:t>elkovou energeticky vztažnou plochou budovy nebo ucelené části budovy</w:t>
      </w:r>
      <w:r w:rsidR="00873035" w:rsidRPr="002602DA">
        <w:t xml:space="preserve"> </w:t>
      </w:r>
      <w:r w:rsidRPr="002602DA">
        <w:t>myslí</w:t>
      </w:r>
      <w:r w:rsidR="00873035" w:rsidRPr="002602DA">
        <w:t xml:space="preserve"> „</w:t>
      </w:r>
      <w:r w:rsidR="00873035" w:rsidRPr="00735300">
        <w:rPr>
          <w:shd w:val="clear" w:color="auto" w:fill="FFFFFF"/>
        </w:rPr>
        <w:t xml:space="preserve">vnější půdorysná plocha všech prostorů s </w:t>
      </w:r>
      <w:r w:rsidR="00873035" w:rsidRPr="00735300">
        <w:rPr>
          <w:b/>
          <w:shd w:val="clear" w:color="auto" w:fill="FFFFFF"/>
        </w:rPr>
        <w:t>upravovaným vnitřním prostředím</w:t>
      </w:r>
      <w:r w:rsidR="00873035" w:rsidRPr="00735300">
        <w:rPr>
          <w:shd w:val="clear" w:color="auto" w:fill="FFFFFF"/>
        </w:rPr>
        <w:t xml:space="preserve"> ve všech </w:t>
      </w:r>
      <w:r w:rsidR="00873035" w:rsidRPr="00735300">
        <w:rPr>
          <w:b/>
          <w:shd w:val="clear" w:color="auto" w:fill="FFFFFF"/>
        </w:rPr>
        <w:t xml:space="preserve">podlažích </w:t>
      </w:r>
      <w:r w:rsidR="00873035" w:rsidRPr="00735300">
        <w:rPr>
          <w:shd w:val="clear" w:color="auto" w:fill="FFFFFF"/>
        </w:rPr>
        <w:t>budovy nebo její ucelené části.“</w:t>
      </w:r>
    </w:p>
    <w:p w14:paraId="1FD80465" w14:textId="77777777" w:rsidR="00757DA8" w:rsidRPr="00735300" w:rsidRDefault="00873035" w:rsidP="004B1BA3">
      <w:pPr>
        <w:pStyle w:val="Odstavecseseznamem"/>
        <w:numPr>
          <w:ilvl w:val="0"/>
          <w:numId w:val="57"/>
        </w:numPr>
        <w:spacing w:before="0" w:beforeAutospacing="0" w:after="120" w:afterAutospacing="0"/>
        <w:ind w:hanging="436"/>
        <w:contextualSpacing w:val="0"/>
        <w:rPr>
          <w:shd w:val="clear" w:color="auto" w:fill="FFFFFF"/>
        </w:rPr>
      </w:pPr>
      <w:r w:rsidRPr="00735300">
        <w:rPr>
          <w:shd w:val="clear" w:color="auto" w:fill="FFFFFF"/>
        </w:rPr>
        <w:t>Dle písm. x</w:t>
      </w:r>
      <w:r w:rsidRPr="002602DA">
        <w:t>)</w:t>
      </w:r>
      <w:r w:rsidRPr="00735300">
        <w:rPr>
          <w:shd w:val="clear" w:color="auto" w:fill="FFFFFF"/>
        </w:rPr>
        <w:t> </w:t>
      </w:r>
      <w:r w:rsidRPr="00735300">
        <w:rPr>
          <w:b/>
          <w:shd w:val="clear" w:color="auto" w:fill="FFFFFF"/>
        </w:rPr>
        <w:t xml:space="preserve">upravovaným vnitřním prostředím </w:t>
      </w:r>
      <w:r w:rsidR="00757DA8" w:rsidRPr="00735300">
        <w:rPr>
          <w:shd w:val="clear" w:color="auto" w:fill="FFFFFF"/>
        </w:rPr>
        <w:t>„</w:t>
      </w:r>
      <w:r w:rsidRPr="00735300">
        <w:rPr>
          <w:shd w:val="clear" w:color="auto" w:fill="FFFFFF"/>
        </w:rPr>
        <w:t xml:space="preserve">prostředí uvnitř obálky budovy, které je definováno návrhovými hodnotami teploty na vytápění nebo chlazení“. </w:t>
      </w:r>
    </w:p>
    <w:p w14:paraId="18E77166" w14:textId="613FE295" w:rsidR="00873035" w:rsidRPr="00735300" w:rsidRDefault="00873035" w:rsidP="004B1BA3">
      <w:pPr>
        <w:pStyle w:val="Odstavecseseznamem"/>
        <w:numPr>
          <w:ilvl w:val="0"/>
          <w:numId w:val="57"/>
        </w:numPr>
        <w:spacing w:before="0" w:beforeAutospacing="0" w:after="120" w:afterAutospacing="0"/>
        <w:ind w:hanging="436"/>
        <w:contextualSpacing w:val="0"/>
        <w:rPr>
          <w:shd w:val="clear" w:color="auto" w:fill="FFFFFF"/>
        </w:rPr>
      </w:pPr>
      <w:r w:rsidRPr="00735300">
        <w:rPr>
          <w:shd w:val="clear" w:color="auto" w:fill="FFFFFF"/>
        </w:rPr>
        <w:t>D</w:t>
      </w:r>
      <w:r w:rsidRPr="00735300">
        <w:rPr>
          <w:rStyle w:val="PromnnHTML"/>
          <w:bCs/>
          <w:i w:val="0"/>
          <w:color w:val="000000"/>
          <w:shd w:val="clear" w:color="auto" w:fill="FFFFFF"/>
        </w:rPr>
        <w:t>le §</w:t>
      </w:r>
      <w:r w:rsidR="00757DA8" w:rsidRPr="00735300">
        <w:rPr>
          <w:rStyle w:val="PromnnHTML"/>
          <w:bCs/>
          <w:i w:val="0"/>
          <w:color w:val="000000"/>
          <w:shd w:val="clear" w:color="auto" w:fill="FFFFFF"/>
        </w:rPr>
        <w:t xml:space="preserve"> </w:t>
      </w:r>
      <w:r w:rsidRPr="00735300">
        <w:rPr>
          <w:rStyle w:val="PromnnHTML"/>
          <w:bCs/>
          <w:i w:val="0"/>
          <w:color w:val="000000"/>
          <w:shd w:val="clear" w:color="auto" w:fill="FFFFFF"/>
        </w:rPr>
        <w:t>2 odst.</w:t>
      </w:r>
      <w:r w:rsidR="00757DA8" w:rsidRPr="00735300">
        <w:rPr>
          <w:rStyle w:val="PromnnHTML"/>
          <w:bCs/>
          <w:i w:val="0"/>
          <w:color w:val="000000"/>
          <w:shd w:val="clear" w:color="auto" w:fill="FFFFFF"/>
        </w:rPr>
        <w:t xml:space="preserve"> </w:t>
      </w:r>
      <w:r w:rsidRPr="00735300">
        <w:rPr>
          <w:rStyle w:val="PromnnHTML"/>
          <w:bCs/>
          <w:i w:val="0"/>
          <w:color w:val="000000"/>
          <w:shd w:val="clear" w:color="auto" w:fill="FFFFFF"/>
        </w:rPr>
        <w:t xml:space="preserve">2 písm. n) zákona </w:t>
      </w:r>
      <w:r w:rsidRPr="00735300">
        <w:rPr>
          <w:b/>
          <w:shd w:val="clear" w:color="auto" w:fill="FFFFFF"/>
        </w:rPr>
        <w:t>podlažím</w:t>
      </w:r>
      <w:r w:rsidRPr="00735300">
        <w:rPr>
          <w:shd w:val="clear" w:color="auto" w:fill="FFFFFF"/>
        </w:rPr>
        <w:t xml:space="preserve"> </w:t>
      </w:r>
      <w:r w:rsidR="00757DA8" w:rsidRPr="00735300">
        <w:rPr>
          <w:shd w:val="clear" w:color="auto" w:fill="FFFFFF"/>
        </w:rPr>
        <w:t>„</w:t>
      </w:r>
      <w:r w:rsidRPr="00735300">
        <w:rPr>
          <w:shd w:val="clear" w:color="auto" w:fill="FFFFFF"/>
        </w:rPr>
        <w:t>přístupný prostor vymezený dvěma nad sebou následujícími nosnými konstrukcemi stropu nebo hrubé podlahy na terénu nebo konstrukcí střechy včetně podkroví.“</w:t>
      </w:r>
    </w:p>
    <w:p w14:paraId="5CB646B5" w14:textId="087B19EA" w:rsidR="002602DA" w:rsidRPr="002602DA" w:rsidRDefault="002602DA" w:rsidP="00F951AE">
      <w:pPr>
        <w:pStyle w:val="Vnitnadresa"/>
        <w:spacing w:after="120" w:line="240" w:lineRule="auto"/>
        <w:rPr>
          <w:rFonts w:asciiTheme="minorHAnsi" w:hAnsiTheme="minorHAnsi" w:cstheme="minorHAnsi"/>
          <w:spacing w:val="0"/>
          <w:sz w:val="22"/>
          <w:szCs w:val="22"/>
          <w:lang w:eastAsia="cs-CZ"/>
        </w:rPr>
      </w:pPr>
      <w:r w:rsidRPr="002602DA">
        <w:rPr>
          <w:rFonts w:asciiTheme="minorHAnsi" w:hAnsiTheme="minorHAnsi" w:cstheme="minorHAnsi"/>
          <w:b/>
          <w:spacing w:val="0"/>
          <w:sz w:val="22"/>
          <w:szCs w:val="22"/>
          <w:lang w:eastAsia="cs-CZ"/>
        </w:rPr>
        <w:t>Budov</w:t>
      </w:r>
      <w:r w:rsidR="00F951AE">
        <w:rPr>
          <w:rFonts w:asciiTheme="minorHAnsi" w:hAnsiTheme="minorHAnsi" w:cstheme="minorHAnsi"/>
          <w:b/>
          <w:spacing w:val="0"/>
          <w:sz w:val="22"/>
          <w:szCs w:val="22"/>
          <w:lang w:eastAsia="cs-CZ"/>
        </w:rPr>
        <w:t>ou</w:t>
      </w:r>
      <w:r w:rsidRPr="002602DA">
        <w:rPr>
          <w:rFonts w:asciiTheme="minorHAnsi" w:hAnsiTheme="minorHAnsi" w:cstheme="minorHAnsi"/>
          <w:spacing w:val="0"/>
          <w:sz w:val="22"/>
          <w:szCs w:val="22"/>
          <w:lang w:eastAsia="cs-CZ"/>
        </w:rPr>
        <w:t xml:space="preserve"> se pro účely tohoto zákona rozumí nadzemní stavba a její podzemní části, prostorově soustředěná a navenek převážně uzavřená obvodovými stěnami a střešní konstrukcí, v níž se používá energie k úpravě vnitřního prostředí </w:t>
      </w:r>
      <w:r w:rsidRPr="002602DA">
        <w:rPr>
          <w:rFonts w:asciiTheme="minorHAnsi" w:hAnsiTheme="minorHAnsi" w:cstheme="minorHAnsi"/>
          <w:b/>
          <w:spacing w:val="0"/>
          <w:sz w:val="22"/>
          <w:szCs w:val="22"/>
          <w:lang w:eastAsia="cs-CZ"/>
        </w:rPr>
        <w:t>za účelem vytápění nebo chlazení</w:t>
      </w:r>
      <w:r w:rsidRPr="002602DA">
        <w:rPr>
          <w:rFonts w:asciiTheme="minorHAnsi" w:hAnsiTheme="minorHAnsi" w:cstheme="minorHAnsi"/>
          <w:spacing w:val="0"/>
          <w:sz w:val="22"/>
          <w:szCs w:val="22"/>
          <w:lang w:eastAsia="cs-CZ"/>
        </w:rPr>
        <w:t xml:space="preserve">. </w:t>
      </w:r>
    </w:p>
    <w:p w14:paraId="2F7D7BF1" w14:textId="100947AF" w:rsidR="00F951AE" w:rsidRDefault="00F951AE" w:rsidP="00F951AE">
      <w:pPr>
        <w:pStyle w:val="Vnitnadresa"/>
        <w:spacing w:after="120" w:line="240" w:lineRule="auto"/>
        <w:rPr>
          <w:rFonts w:asciiTheme="minorHAnsi" w:hAnsiTheme="minorHAnsi" w:cstheme="minorHAnsi"/>
          <w:spacing w:val="0"/>
          <w:sz w:val="22"/>
          <w:szCs w:val="22"/>
          <w:lang w:eastAsia="cs-CZ"/>
        </w:rPr>
      </w:pPr>
      <w:r w:rsidRPr="00735300">
        <w:rPr>
          <w:rFonts w:asciiTheme="minorHAnsi" w:hAnsiTheme="minorHAnsi" w:cstheme="minorHAnsi"/>
          <w:b/>
          <w:spacing w:val="0"/>
          <w:sz w:val="22"/>
          <w:szCs w:val="22"/>
          <w:lang w:eastAsia="cs-CZ"/>
        </w:rPr>
        <w:t xml:space="preserve">Obálkou budovy </w:t>
      </w:r>
      <w:r w:rsidRPr="002602DA">
        <w:rPr>
          <w:rFonts w:asciiTheme="minorHAnsi" w:hAnsiTheme="minorHAnsi" w:cstheme="minorHAnsi"/>
          <w:spacing w:val="0"/>
          <w:sz w:val="22"/>
          <w:szCs w:val="22"/>
          <w:lang w:eastAsia="cs-CZ"/>
        </w:rPr>
        <w:t>se pro účely tohoto zákona rozumí soubor všech teplosměnných konstrukcí na systémové hranici celé budovy, které jsou vystaveny přilehlému prostředí, jež tvoří venkovní vzduch, přilehlá zemina, vnitřní vzduch v přilehlém nevytápěném prostoru nebo sousední budově.</w:t>
      </w:r>
    </w:p>
    <w:p w14:paraId="019E4995" w14:textId="77777777" w:rsidR="009D7FD7" w:rsidRPr="009D7FD7" w:rsidRDefault="009D7FD7" w:rsidP="009D7FD7">
      <w:pPr>
        <w:pStyle w:val="Styl6"/>
        <w:numPr>
          <w:ilvl w:val="0"/>
          <w:numId w:val="0"/>
        </w:numPr>
        <w:spacing w:before="0" w:after="120" w:line="240" w:lineRule="auto"/>
        <w:contextualSpacing w:val="0"/>
        <w:rPr>
          <w:rFonts w:asciiTheme="minorHAnsi" w:hAnsiTheme="minorHAnsi" w:cstheme="minorHAnsi"/>
          <w:b/>
          <w:sz w:val="22"/>
          <w:szCs w:val="22"/>
        </w:rPr>
      </w:pPr>
      <w:r w:rsidRPr="009D7FD7">
        <w:rPr>
          <w:rFonts w:asciiTheme="minorHAnsi" w:hAnsiTheme="minorHAnsi" w:cstheme="minorHAnsi"/>
          <w:b/>
          <w:sz w:val="22"/>
          <w:szCs w:val="22"/>
        </w:rPr>
        <w:t>Supervize</w:t>
      </w:r>
    </w:p>
    <w:p w14:paraId="30799B71" w14:textId="77777777" w:rsidR="009D7FD7" w:rsidRPr="002602DA" w:rsidRDefault="009D7FD7" w:rsidP="005B5DC7">
      <w:pPr>
        <w:pStyle w:val="Styl-Nadpis2"/>
        <w:numPr>
          <w:ilvl w:val="0"/>
          <w:numId w:val="0"/>
        </w:numPr>
        <w:spacing w:after="0" w:line="240" w:lineRule="auto"/>
        <w:contextualSpacing w:val="0"/>
        <w:jc w:val="both"/>
        <w:rPr>
          <w:rFonts w:asciiTheme="minorHAnsi" w:hAnsiTheme="minorHAnsi" w:cstheme="minorHAnsi"/>
          <w:sz w:val="22"/>
          <w:szCs w:val="22"/>
        </w:rPr>
      </w:pPr>
      <w:r w:rsidRPr="002602DA">
        <w:rPr>
          <w:rFonts w:asciiTheme="minorHAnsi" w:hAnsiTheme="minorHAnsi" w:cstheme="minorHAnsi"/>
          <w:sz w:val="22"/>
          <w:szCs w:val="22"/>
        </w:rPr>
        <w:t>V průběhu realizace stavebních prací je prováděna tzv. věcná kontrola výdajů, které vstupují do způsobilých výdajů projektu. Věcnou kontrolou se rozumí souhrn činností, které formou kontrolního dohledu nad činností technického dozoru investora ověřují:</w:t>
      </w:r>
    </w:p>
    <w:p w14:paraId="444D0E60" w14:textId="77777777" w:rsidR="009D7FD7" w:rsidRPr="002602DA" w:rsidRDefault="009D7FD7" w:rsidP="005B5DC7">
      <w:pPr>
        <w:pStyle w:val="Odstavecseseznamem"/>
        <w:numPr>
          <w:ilvl w:val="4"/>
          <w:numId w:val="55"/>
        </w:numPr>
        <w:autoSpaceDE w:val="0"/>
        <w:autoSpaceDN w:val="0"/>
        <w:spacing w:before="0" w:beforeAutospacing="0" w:after="0" w:afterAutospacing="0"/>
        <w:ind w:left="851" w:hanging="567"/>
        <w:contextualSpacing w:val="0"/>
        <w:rPr>
          <w:bCs/>
        </w:rPr>
      </w:pPr>
      <w:r w:rsidRPr="002602DA">
        <w:rPr>
          <w:bCs/>
        </w:rPr>
        <w:t>řádné provedení prací, služeb a dodávek a jejich soulad s naplňováním cílů programu a výzvy</w:t>
      </w:r>
    </w:p>
    <w:p w14:paraId="5B2D536D" w14:textId="77777777" w:rsidR="009D7FD7" w:rsidRPr="002602DA" w:rsidRDefault="009D7FD7" w:rsidP="005B5DC7">
      <w:pPr>
        <w:pStyle w:val="Odstavecseseznamem"/>
        <w:numPr>
          <w:ilvl w:val="4"/>
          <w:numId w:val="55"/>
        </w:numPr>
        <w:autoSpaceDE w:val="0"/>
        <w:autoSpaceDN w:val="0"/>
        <w:spacing w:before="0" w:beforeAutospacing="0" w:after="0" w:afterAutospacing="0"/>
        <w:ind w:left="851" w:hanging="567"/>
        <w:contextualSpacing w:val="0"/>
        <w:rPr>
          <w:bCs/>
        </w:rPr>
      </w:pPr>
      <w:r w:rsidRPr="002602DA">
        <w:rPr>
          <w:bCs/>
        </w:rPr>
        <w:t>soulad fakturace s provedenými pracemi.</w:t>
      </w:r>
    </w:p>
    <w:p w14:paraId="74E656F5" w14:textId="77777777" w:rsidR="009D7FD7" w:rsidRPr="002602DA" w:rsidRDefault="009D7FD7" w:rsidP="007D1731">
      <w:pPr>
        <w:pStyle w:val="Zkladntext"/>
        <w:spacing w:before="0" w:beforeAutospacing="0" w:after="120" w:afterAutospacing="0"/>
      </w:pPr>
      <w:r w:rsidRPr="002602DA">
        <w:t>Dotační finanční prostředky budou uvolňovány na účet příjemce dotace na základě fakturace až po kontrole oprávněnosti, která bude obsahovat i věcnou kontrolu provedených prací, služeb a dodávek. Kontrola bude prováděna prostřednictvím externích supervizních společností na místě projektu. Žadatel je povinen umožnit supervizi přístup na staveniště a k potřebným dokumentům.</w:t>
      </w:r>
    </w:p>
    <w:p w14:paraId="5FD43D9B" w14:textId="3C73A347" w:rsidR="009D7FD7" w:rsidRPr="000163D3" w:rsidRDefault="009D7FD7" w:rsidP="00263713">
      <w:pPr>
        <w:pStyle w:val="Nadpis2"/>
        <w:keepLines w:val="0"/>
        <w:numPr>
          <w:ilvl w:val="0"/>
          <w:numId w:val="45"/>
        </w:numPr>
        <w:spacing w:before="360" w:after="100"/>
        <w:ind w:left="426" w:hanging="426"/>
        <w:rPr>
          <w:sz w:val="28"/>
          <w:szCs w:val="28"/>
        </w:rPr>
      </w:pPr>
      <w:r w:rsidRPr="000163D3">
        <w:rPr>
          <w:sz w:val="28"/>
          <w:szCs w:val="28"/>
        </w:rPr>
        <w:lastRenderedPageBreak/>
        <w:t xml:space="preserve">Rozdělení projektů na </w:t>
      </w:r>
      <w:r w:rsidR="006D2720">
        <w:rPr>
          <w:sz w:val="28"/>
          <w:szCs w:val="28"/>
        </w:rPr>
        <w:t>demolic</w:t>
      </w:r>
      <w:r w:rsidR="009F79E4">
        <w:rPr>
          <w:sz w:val="28"/>
          <w:szCs w:val="28"/>
        </w:rPr>
        <w:t>i</w:t>
      </w:r>
      <w:r w:rsidRPr="000163D3">
        <w:rPr>
          <w:sz w:val="28"/>
          <w:szCs w:val="28"/>
        </w:rPr>
        <w:t xml:space="preserve"> a výstavbu </w:t>
      </w:r>
      <w:r w:rsidR="006D2720">
        <w:rPr>
          <w:sz w:val="28"/>
          <w:szCs w:val="28"/>
        </w:rPr>
        <w:t xml:space="preserve">budovy </w:t>
      </w:r>
      <w:r w:rsidRPr="000163D3">
        <w:rPr>
          <w:sz w:val="28"/>
          <w:szCs w:val="28"/>
        </w:rPr>
        <w:t>nebo renovaci</w:t>
      </w:r>
    </w:p>
    <w:p w14:paraId="347AD41B" w14:textId="77777777" w:rsidR="009D7FD7" w:rsidRPr="006D2720" w:rsidRDefault="009D7FD7" w:rsidP="009D7FD7">
      <w:r w:rsidRPr="006D2720">
        <w:t xml:space="preserve">Rozdělení projektů kopíruje nikoliv chápání budovy z pohledu procesního dle stavebního zákona, ale z pohledu faktického ovlivnění požadavků na energetickou náročnost budovy dle zákona č. 406/2000 Sb. a vyhlášky č. 264/2020 Sb. </w:t>
      </w:r>
    </w:p>
    <w:p w14:paraId="41E48608" w14:textId="054EB265" w:rsidR="006D2720" w:rsidRDefault="006D2720" w:rsidP="009D7FD7">
      <w:r>
        <w:t xml:space="preserve">Projekty podle rozsahu rekonstrukce </w:t>
      </w:r>
      <w:r w:rsidR="009D7FD7" w:rsidRPr="006D2720">
        <w:t>budou rozděleny na</w:t>
      </w:r>
      <w:r>
        <w:t>:</w:t>
      </w:r>
    </w:p>
    <w:p w14:paraId="0E2560F2" w14:textId="77777777" w:rsidR="006D2720" w:rsidRDefault="006D2720" w:rsidP="006D2720">
      <w:pPr>
        <w:pStyle w:val="Odstavecseseznamem"/>
        <w:numPr>
          <w:ilvl w:val="0"/>
          <w:numId w:val="71"/>
        </w:numPr>
      </w:pPr>
      <w:r>
        <w:t>Projekt demolice a výstavby budovy</w:t>
      </w:r>
    </w:p>
    <w:p w14:paraId="238780DF" w14:textId="02E2F5A4" w:rsidR="009D7FD7" w:rsidRPr="006D2720" w:rsidRDefault="006D2720" w:rsidP="006D2720">
      <w:pPr>
        <w:pStyle w:val="Odstavecseseznamem"/>
        <w:numPr>
          <w:ilvl w:val="0"/>
          <w:numId w:val="71"/>
        </w:numPr>
      </w:pPr>
      <w:r>
        <w:t xml:space="preserve">Projekt Renovace </w:t>
      </w:r>
      <w:r w:rsidR="009D7FD7" w:rsidRPr="006D2720">
        <w:rPr>
          <w:b/>
          <w:bCs/>
        </w:rPr>
        <w:t xml:space="preserve"> </w:t>
      </w:r>
    </w:p>
    <w:p w14:paraId="0B322525" w14:textId="2FCC592C" w:rsidR="009D7FD7" w:rsidRPr="007149A1" w:rsidRDefault="009D7FD7" w:rsidP="009D7FD7">
      <w:pPr>
        <w:pStyle w:val="Vnitnadresa"/>
        <w:spacing w:after="120" w:line="240" w:lineRule="auto"/>
        <w:rPr>
          <w:rFonts w:asciiTheme="minorHAnsi" w:hAnsiTheme="minorHAnsi" w:cstheme="minorHAnsi"/>
          <w:spacing w:val="0"/>
          <w:sz w:val="22"/>
          <w:szCs w:val="22"/>
          <w:lang w:eastAsia="cs-CZ"/>
        </w:rPr>
      </w:pPr>
      <w:r w:rsidRPr="007149A1">
        <w:rPr>
          <w:rFonts w:asciiTheme="minorHAnsi" w:hAnsiTheme="minorHAnsi" w:cstheme="minorHAnsi"/>
          <w:spacing w:val="0"/>
          <w:sz w:val="22"/>
          <w:szCs w:val="22"/>
          <w:lang w:eastAsia="cs-CZ"/>
        </w:rPr>
        <w:t>Pokud je stávající budova demolována až na základovou konstrukci, jedná se jednoznačně o</w:t>
      </w:r>
      <w:r w:rsidR="007149A1" w:rsidRPr="007149A1">
        <w:rPr>
          <w:rFonts w:asciiTheme="minorHAnsi" w:hAnsiTheme="minorHAnsi" w:cstheme="minorHAnsi"/>
          <w:spacing w:val="0"/>
          <w:sz w:val="22"/>
          <w:szCs w:val="22"/>
          <w:lang w:eastAsia="cs-CZ"/>
        </w:rPr>
        <w:t xml:space="preserve"> projekt demolice </w:t>
      </w:r>
      <w:proofErr w:type="gramStart"/>
      <w:r w:rsidR="007149A1" w:rsidRPr="007149A1">
        <w:rPr>
          <w:rFonts w:asciiTheme="minorHAnsi" w:hAnsiTheme="minorHAnsi" w:cstheme="minorHAnsi"/>
          <w:spacing w:val="0"/>
          <w:sz w:val="22"/>
          <w:szCs w:val="22"/>
          <w:lang w:eastAsia="cs-CZ"/>
        </w:rPr>
        <w:t xml:space="preserve">a </w:t>
      </w:r>
      <w:r w:rsidRPr="007149A1">
        <w:rPr>
          <w:rFonts w:asciiTheme="minorHAnsi" w:hAnsiTheme="minorHAnsi" w:cstheme="minorHAnsi"/>
          <w:spacing w:val="0"/>
          <w:sz w:val="22"/>
          <w:szCs w:val="22"/>
          <w:lang w:eastAsia="cs-CZ"/>
        </w:rPr>
        <w:t xml:space="preserve"> výstavbu</w:t>
      </w:r>
      <w:proofErr w:type="gramEnd"/>
      <w:r w:rsidRPr="007149A1">
        <w:rPr>
          <w:rFonts w:asciiTheme="minorHAnsi" w:hAnsiTheme="minorHAnsi" w:cstheme="minorHAnsi"/>
          <w:spacing w:val="0"/>
          <w:sz w:val="22"/>
          <w:szCs w:val="22"/>
          <w:lang w:eastAsia="cs-CZ"/>
        </w:rPr>
        <w:t xml:space="preserve"> budovy. Hranice pro určení, zda se při demolici stávající budovy jedná </w:t>
      </w:r>
      <w:r w:rsidR="007149A1">
        <w:rPr>
          <w:rFonts w:asciiTheme="minorHAnsi" w:hAnsiTheme="minorHAnsi" w:cstheme="minorHAnsi"/>
          <w:spacing w:val="0"/>
          <w:sz w:val="22"/>
          <w:szCs w:val="22"/>
          <w:lang w:eastAsia="cs-CZ"/>
        </w:rPr>
        <w:t xml:space="preserve">projekt Renovace </w:t>
      </w:r>
      <w:r w:rsidRPr="007149A1">
        <w:rPr>
          <w:rFonts w:asciiTheme="minorHAnsi" w:hAnsiTheme="minorHAnsi" w:cstheme="minorHAnsi"/>
          <w:spacing w:val="0"/>
          <w:sz w:val="22"/>
          <w:szCs w:val="22"/>
          <w:lang w:eastAsia="cs-CZ"/>
        </w:rPr>
        <w:t xml:space="preserve">nebo </w:t>
      </w:r>
      <w:proofErr w:type="gramStart"/>
      <w:r w:rsidRPr="007149A1">
        <w:rPr>
          <w:rFonts w:asciiTheme="minorHAnsi" w:hAnsiTheme="minorHAnsi" w:cstheme="minorHAnsi"/>
          <w:spacing w:val="0"/>
          <w:sz w:val="22"/>
          <w:szCs w:val="22"/>
          <w:lang w:eastAsia="cs-CZ"/>
        </w:rPr>
        <w:t xml:space="preserve">o </w:t>
      </w:r>
      <w:r w:rsidR="007149A1">
        <w:rPr>
          <w:rFonts w:asciiTheme="minorHAnsi" w:hAnsiTheme="minorHAnsi" w:cstheme="minorHAnsi"/>
          <w:spacing w:val="0"/>
          <w:sz w:val="22"/>
          <w:szCs w:val="22"/>
          <w:lang w:eastAsia="cs-CZ"/>
        </w:rPr>
        <w:t xml:space="preserve"> projekt</w:t>
      </w:r>
      <w:proofErr w:type="gramEnd"/>
      <w:r w:rsidR="007149A1">
        <w:rPr>
          <w:rFonts w:asciiTheme="minorHAnsi" w:hAnsiTheme="minorHAnsi" w:cstheme="minorHAnsi"/>
          <w:spacing w:val="0"/>
          <w:sz w:val="22"/>
          <w:szCs w:val="22"/>
          <w:lang w:eastAsia="cs-CZ"/>
        </w:rPr>
        <w:t xml:space="preserve"> demolice a </w:t>
      </w:r>
      <w:r w:rsidRPr="007149A1">
        <w:rPr>
          <w:rFonts w:asciiTheme="minorHAnsi" w:hAnsiTheme="minorHAnsi" w:cstheme="minorHAnsi"/>
          <w:spacing w:val="0"/>
          <w:sz w:val="22"/>
          <w:szCs w:val="22"/>
          <w:lang w:eastAsia="cs-CZ"/>
        </w:rPr>
        <w:t>výstavb</w:t>
      </w:r>
      <w:r w:rsidR="007149A1">
        <w:rPr>
          <w:rFonts w:asciiTheme="minorHAnsi" w:hAnsiTheme="minorHAnsi" w:cstheme="minorHAnsi"/>
          <w:spacing w:val="0"/>
          <w:sz w:val="22"/>
          <w:szCs w:val="22"/>
          <w:lang w:eastAsia="cs-CZ"/>
        </w:rPr>
        <w:t>y</w:t>
      </w:r>
      <w:r w:rsidRPr="007149A1">
        <w:rPr>
          <w:rFonts w:asciiTheme="minorHAnsi" w:hAnsiTheme="minorHAnsi" w:cstheme="minorHAnsi"/>
          <w:spacing w:val="0"/>
          <w:sz w:val="22"/>
          <w:szCs w:val="22"/>
          <w:lang w:eastAsia="cs-CZ"/>
        </w:rPr>
        <w:t xml:space="preserve"> není zákonem ani prováděcím právním předpisem, kterým je vyhláška č. 264/2020 Sb., o energetické náročnosti budov (dále jen vyhláška“), nikde stanovena</w:t>
      </w:r>
      <w:r w:rsidR="006D2720" w:rsidRPr="007149A1">
        <w:rPr>
          <w:rFonts w:asciiTheme="minorHAnsi" w:hAnsiTheme="minorHAnsi" w:cstheme="minorHAnsi"/>
          <w:spacing w:val="0"/>
          <w:sz w:val="22"/>
          <w:szCs w:val="22"/>
          <w:lang w:eastAsia="cs-CZ"/>
        </w:rPr>
        <w:t>. V případě, že u budovy bude provedena taková</w:t>
      </w:r>
      <w:r w:rsidRPr="007149A1">
        <w:rPr>
          <w:rFonts w:asciiTheme="minorHAnsi" w:hAnsiTheme="minorHAnsi" w:cstheme="minorHAnsi"/>
          <w:spacing w:val="0"/>
          <w:sz w:val="22"/>
          <w:szCs w:val="22"/>
          <w:lang w:eastAsia="cs-CZ"/>
        </w:rPr>
        <w:t xml:space="preserve"> </w:t>
      </w:r>
      <w:r w:rsidR="006D2720" w:rsidRPr="007149A1">
        <w:rPr>
          <w:rFonts w:asciiTheme="minorHAnsi" w:hAnsiTheme="minorHAnsi" w:cstheme="minorHAnsi"/>
          <w:spacing w:val="0"/>
          <w:sz w:val="22"/>
          <w:szCs w:val="22"/>
          <w:lang w:eastAsia="cs-CZ"/>
        </w:rPr>
        <w:t>změna</w:t>
      </w:r>
      <w:r w:rsidRPr="007149A1">
        <w:rPr>
          <w:rFonts w:asciiTheme="minorHAnsi" w:hAnsiTheme="minorHAnsi" w:cstheme="minorHAnsi"/>
          <w:spacing w:val="0"/>
          <w:sz w:val="22"/>
          <w:szCs w:val="22"/>
          <w:lang w:eastAsia="cs-CZ"/>
        </w:rPr>
        <w:t>, u které zůstane kompletně zachována alespoň jedna podélná nebo štítová vertikální konstrukce obálky budovy minimálně na výšku jednoho podlaží (obvykle vnější obvodová stěna mezi vytápěným prostorem a vnějším vzduchem minimálně na výšku jednoho podlaží)</w:t>
      </w:r>
      <w:r w:rsidR="006D2720" w:rsidRPr="007149A1">
        <w:rPr>
          <w:rFonts w:asciiTheme="minorHAnsi" w:hAnsiTheme="minorHAnsi" w:cstheme="minorHAnsi"/>
          <w:spacing w:val="0"/>
          <w:sz w:val="22"/>
          <w:szCs w:val="22"/>
          <w:lang w:eastAsia="cs-CZ"/>
        </w:rPr>
        <w:t>, bude se jednat o projekt Renovac</w:t>
      </w:r>
      <w:r w:rsidR="006D2720" w:rsidRPr="00016658">
        <w:rPr>
          <w:rFonts w:asciiTheme="minorHAnsi" w:hAnsiTheme="minorHAnsi" w:cstheme="minorHAnsi"/>
          <w:spacing w:val="0"/>
          <w:sz w:val="22"/>
          <w:szCs w:val="22"/>
          <w:lang w:eastAsia="cs-CZ"/>
        </w:rPr>
        <w:t>e budovy. V případě, že tato</w:t>
      </w:r>
      <w:r w:rsidR="00A045BA" w:rsidRPr="00016658">
        <w:rPr>
          <w:rFonts w:asciiTheme="minorHAnsi" w:hAnsiTheme="minorHAnsi" w:cstheme="minorHAnsi"/>
          <w:spacing w:val="0"/>
          <w:sz w:val="22"/>
          <w:szCs w:val="22"/>
          <w:lang w:eastAsia="cs-CZ"/>
        </w:rPr>
        <w:t xml:space="preserve"> </w:t>
      </w:r>
      <w:r w:rsidR="006D2720" w:rsidRPr="00016658">
        <w:rPr>
          <w:rFonts w:asciiTheme="minorHAnsi" w:hAnsiTheme="minorHAnsi" w:cstheme="minorHAnsi"/>
          <w:spacing w:val="0"/>
          <w:sz w:val="22"/>
          <w:szCs w:val="22"/>
          <w:lang w:eastAsia="cs-CZ"/>
        </w:rPr>
        <w:t xml:space="preserve">podmínka splněna nebude, bude se jednat o projekt </w:t>
      </w:r>
      <w:r w:rsidR="007149A1" w:rsidRPr="00016658">
        <w:rPr>
          <w:rFonts w:asciiTheme="minorHAnsi" w:hAnsiTheme="minorHAnsi" w:cstheme="minorHAnsi"/>
          <w:spacing w:val="0"/>
          <w:sz w:val="22"/>
          <w:szCs w:val="22"/>
          <w:lang w:eastAsia="cs-CZ"/>
        </w:rPr>
        <w:t>Demolice a v</w:t>
      </w:r>
      <w:r w:rsidR="006D2720" w:rsidRPr="00016658">
        <w:rPr>
          <w:rFonts w:asciiTheme="minorHAnsi" w:hAnsiTheme="minorHAnsi" w:cstheme="minorHAnsi"/>
          <w:spacing w:val="0"/>
          <w:sz w:val="22"/>
          <w:szCs w:val="22"/>
          <w:lang w:eastAsia="cs-CZ"/>
        </w:rPr>
        <w:t>ýstavba budovy</w:t>
      </w:r>
      <w:r w:rsidR="007149A1" w:rsidRPr="00016658">
        <w:rPr>
          <w:rFonts w:asciiTheme="minorHAnsi" w:hAnsiTheme="minorHAnsi" w:cstheme="minorHAnsi"/>
          <w:spacing w:val="0"/>
          <w:sz w:val="22"/>
          <w:szCs w:val="22"/>
          <w:lang w:eastAsia="cs-CZ"/>
        </w:rPr>
        <w:t>. Více podrobností o této problematice je uvedeno ve st</w:t>
      </w:r>
      <w:r w:rsidR="006D2720" w:rsidRPr="00016658">
        <w:rPr>
          <w:rFonts w:asciiTheme="minorHAnsi" w:hAnsiTheme="minorHAnsi" w:cstheme="minorHAnsi"/>
          <w:spacing w:val="0"/>
          <w:sz w:val="22"/>
          <w:szCs w:val="22"/>
          <w:lang w:eastAsia="cs-CZ"/>
        </w:rPr>
        <w:t>anovisk</w:t>
      </w:r>
      <w:r w:rsidR="007149A1" w:rsidRPr="00016658">
        <w:rPr>
          <w:rFonts w:asciiTheme="minorHAnsi" w:hAnsiTheme="minorHAnsi" w:cstheme="minorHAnsi"/>
          <w:spacing w:val="0"/>
          <w:sz w:val="22"/>
          <w:szCs w:val="22"/>
          <w:lang w:eastAsia="cs-CZ"/>
        </w:rPr>
        <w:t>u</w:t>
      </w:r>
      <w:r w:rsidR="006D2720" w:rsidRPr="00016658">
        <w:rPr>
          <w:rFonts w:asciiTheme="minorHAnsi" w:hAnsiTheme="minorHAnsi" w:cstheme="minorHAnsi"/>
          <w:spacing w:val="0"/>
          <w:sz w:val="22"/>
          <w:szCs w:val="22"/>
          <w:lang w:eastAsia="cs-CZ"/>
        </w:rPr>
        <w:t xml:space="preserve"> Státní energetické inspekce (příloha č. XX)</w:t>
      </w:r>
      <w:r w:rsidRPr="007149A1">
        <w:rPr>
          <w:rFonts w:asciiTheme="minorHAnsi" w:hAnsiTheme="minorHAnsi" w:cstheme="minorHAnsi"/>
          <w:spacing w:val="0"/>
          <w:sz w:val="22"/>
          <w:szCs w:val="22"/>
          <w:lang w:eastAsia="cs-CZ"/>
        </w:rPr>
        <w:t xml:space="preserve"> </w:t>
      </w:r>
    </w:p>
    <w:p w14:paraId="57125017" w14:textId="77777777" w:rsidR="009448EF" w:rsidRPr="006D2720" w:rsidRDefault="009D7FD7" w:rsidP="009448EF">
      <w:pPr>
        <w:pStyle w:val="Vnitnadresa"/>
        <w:spacing w:after="120" w:line="240" w:lineRule="auto"/>
        <w:rPr>
          <w:rFonts w:asciiTheme="minorHAnsi" w:hAnsiTheme="minorHAnsi" w:cstheme="minorHAnsi"/>
          <w:spacing w:val="0"/>
          <w:sz w:val="22"/>
          <w:szCs w:val="22"/>
          <w:lang w:eastAsia="cs-CZ"/>
        </w:rPr>
      </w:pPr>
      <w:r w:rsidRPr="006D2720">
        <w:rPr>
          <w:rFonts w:asciiTheme="minorHAnsi" w:hAnsiTheme="minorHAnsi" w:cstheme="minorHAnsi"/>
          <w:spacing w:val="0"/>
          <w:sz w:val="22"/>
          <w:szCs w:val="22"/>
          <w:lang w:eastAsia="cs-CZ"/>
        </w:rPr>
        <w:t xml:space="preserve">V případě změny dokončené budovy, kdy se celková energeticky vztažná plocha </w:t>
      </w:r>
      <w:r w:rsidR="00F951AE" w:rsidRPr="006D2720">
        <w:rPr>
          <w:rFonts w:asciiTheme="minorHAnsi" w:hAnsiTheme="minorHAnsi" w:cstheme="minorHAnsi"/>
          <w:spacing w:val="0"/>
          <w:sz w:val="22"/>
          <w:szCs w:val="22"/>
          <w:lang w:eastAsia="cs-CZ"/>
        </w:rPr>
        <w:t xml:space="preserve">(upravované vnitřní prostředí) </w:t>
      </w:r>
      <w:r w:rsidRPr="006D2720">
        <w:rPr>
          <w:rFonts w:asciiTheme="minorHAnsi" w:hAnsiTheme="minorHAnsi" w:cstheme="minorHAnsi"/>
          <w:spacing w:val="0"/>
          <w:sz w:val="22"/>
          <w:szCs w:val="22"/>
          <w:lang w:eastAsia="cs-CZ"/>
        </w:rPr>
        <w:t xml:space="preserve">rozšiřuje na nejméně </w:t>
      </w:r>
      <w:proofErr w:type="gramStart"/>
      <w:r w:rsidR="009448EF" w:rsidRPr="006D2720">
        <w:rPr>
          <w:rFonts w:asciiTheme="minorHAnsi" w:hAnsiTheme="minorHAnsi" w:cstheme="minorHAnsi"/>
          <w:b/>
          <w:spacing w:val="0"/>
          <w:sz w:val="22"/>
          <w:szCs w:val="22"/>
          <w:lang w:eastAsia="cs-CZ"/>
        </w:rPr>
        <w:t>2,5-násobek</w:t>
      </w:r>
      <w:proofErr w:type="gramEnd"/>
      <w:r w:rsidRPr="006D2720">
        <w:rPr>
          <w:rFonts w:asciiTheme="minorHAnsi" w:hAnsiTheme="minorHAnsi" w:cstheme="minorHAnsi"/>
          <w:b/>
          <w:spacing w:val="0"/>
          <w:sz w:val="22"/>
          <w:szCs w:val="22"/>
          <w:lang w:eastAsia="cs-CZ"/>
        </w:rPr>
        <w:t xml:space="preserve"> původní celkové energeticky vztažné plochy</w:t>
      </w:r>
      <w:r w:rsidRPr="006D2720">
        <w:rPr>
          <w:rFonts w:asciiTheme="minorHAnsi" w:hAnsiTheme="minorHAnsi" w:cstheme="minorHAnsi"/>
          <w:spacing w:val="0"/>
          <w:sz w:val="22"/>
          <w:szCs w:val="22"/>
          <w:lang w:eastAsia="cs-CZ"/>
        </w:rPr>
        <w:t xml:space="preserve">, musí být dle § 7 odst. 3 vyhlášky splněny </w:t>
      </w:r>
      <w:r w:rsidRPr="006D2720">
        <w:rPr>
          <w:rFonts w:asciiTheme="minorHAnsi" w:hAnsiTheme="minorHAnsi" w:cstheme="minorHAnsi"/>
          <w:b/>
          <w:spacing w:val="0"/>
          <w:sz w:val="22"/>
          <w:szCs w:val="22"/>
          <w:lang w:eastAsia="cs-CZ"/>
        </w:rPr>
        <w:t>požadavky pro výstavbu nové budovy - budovu s téměř nulovou spotřebou energie</w:t>
      </w:r>
      <w:r w:rsidRPr="006D2720">
        <w:rPr>
          <w:rFonts w:asciiTheme="minorHAnsi" w:hAnsiTheme="minorHAnsi" w:cstheme="minorHAnsi"/>
          <w:spacing w:val="0"/>
          <w:sz w:val="22"/>
          <w:szCs w:val="22"/>
          <w:lang w:eastAsia="cs-CZ"/>
        </w:rPr>
        <w:t xml:space="preserve">. Pokud </w:t>
      </w:r>
      <w:r w:rsidRPr="006D2720">
        <w:rPr>
          <w:rFonts w:asciiTheme="minorHAnsi" w:hAnsiTheme="minorHAnsi" w:cstheme="minorHAnsi"/>
          <w:b/>
          <w:spacing w:val="0"/>
          <w:sz w:val="22"/>
          <w:szCs w:val="22"/>
          <w:lang w:eastAsia="cs-CZ"/>
        </w:rPr>
        <w:t>s</w:t>
      </w:r>
      <w:r w:rsidRPr="006D2720">
        <w:rPr>
          <w:rFonts w:asciiTheme="minorHAnsi" w:hAnsiTheme="minorHAnsi" w:cstheme="minorHAnsi"/>
          <w:spacing w:val="0"/>
          <w:sz w:val="22"/>
          <w:szCs w:val="22"/>
          <w:lang w:eastAsia="cs-CZ"/>
        </w:rPr>
        <w:t>távající budova nemá žádnou celkovou energeticky vztažnou plochu, musí být při výstavbě splněny požadavky pro budovu s téměř nulovou spotřebou energie.</w:t>
      </w:r>
      <w:r w:rsidR="009448EF" w:rsidRPr="006D2720">
        <w:rPr>
          <w:rFonts w:asciiTheme="minorHAnsi" w:hAnsiTheme="minorHAnsi" w:cstheme="minorHAnsi"/>
          <w:spacing w:val="0"/>
          <w:sz w:val="22"/>
          <w:szCs w:val="22"/>
          <w:lang w:eastAsia="cs-CZ"/>
        </w:rPr>
        <w:t xml:space="preserve"> </w:t>
      </w:r>
    </w:p>
    <w:p w14:paraId="227AD851" w14:textId="26A65B89" w:rsidR="00F951AE" w:rsidRPr="006D2720" w:rsidRDefault="00F951AE" w:rsidP="009448EF">
      <w:pPr>
        <w:pStyle w:val="Vnitnadresa"/>
        <w:spacing w:after="120" w:line="240" w:lineRule="auto"/>
        <w:rPr>
          <w:rFonts w:asciiTheme="minorHAnsi" w:hAnsiTheme="minorHAnsi" w:cstheme="minorHAnsi"/>
          <w:sz w:val="22"/>
          <w:szCs w:val="22"/>
        </w:rPr>
      </w:pPr>
      <w:r w:rsidRPr="006D2720">
        <w:rPr>
          <w:rFonts w:asciiTheme="minorHAnsi" w:hAnsiTheme="minorHAnsi" w:cstheme="minorHAnsi"/>
          <w:sz w:val="22"/>
          <w:szCs w:val="22"/>
        </w:rPr>
        <w:t>V ostatních případech musí být splněny požadavky pro změnu dokončené budovy.</w:t>
      </w:r>
    </w:p>
    <w:p w14:paraId="0215CD27" w14:textId="715A8BD0" w:rsidR="009D7FD7" w:rsidRPr="006D2720" w:rsidRDefault="009D7FD7" w:rsidP="009D7FD7">
      <w:r w:rsidRPr="006D2720">
        <w:t>Postup ve složitějších případech a jejich výklad:</w:t>
      </w:r>
    </w:p>
    <w:p w14:paraId="196BFDE7" w14:textId="50E9D46F" w:rsidR="009D7FD7" w:rsidRPr="006D2720" w:rsidRDefault="009D7FD7" w:rsidP="007D1731">
      <w:pPr>
        <w:pStyle w:val="Odstavecseseznamem"/>
        <w:numPr>
          <w:ilvl w:val="0"/>
          <w:numId w:val="43"/>
        </w:numPr>
        <w:suppressAutoHyphens/>
        <w:spacing w:before="0" w:beforeAutospacing="0" w:after="120" w:afterAutospacing="0"/>
        <w:ind w:left="709" w:hanging="425"/>
        <w:contextualSpacing w:val="0"/>
      </w:pPr>
      <w:r w:rsidRPr="006D2720">
        <w:t>Není-li v budově instalován zdroj tepla či chladu, nejedná se o budovu s upravovaným vnitřním prostředím. Velikost energeticky vztažné plochy určují dle § 2 odst. 1 písm</w:t>
      </w:r>
      <w:r w:rsidR="00AE6034" w:rsidRPr="006D2720">
        <w:t>.</w:t>
      </w:r>
      <w:r w:rsidRPr="006D2720">
        <w:t xml:space="preserve"> r) prostory s upravovaným vnitřním prostředím. Pro tyto prostory musí existovat návrhová vnitřní teplota a být navržen technický systém pro její udržování. Pro budovy, které ve stavu před renovací neměly energeticky vztažnou plochu se, pro účely energetického hodnocení, jedná o </w:t>
      </w:r>
      <w:r w:rsidRPr="006D2720">
        <w:rPr>
          <w:u w:val="single"/>
        </w:rPr>
        <w:t>výstavbu nové budovy</w:t>
      </w:r>
      <w:r w:rsidRPr="006D2720">
        <w:t xml:space="preserve"> a vyžaduje se plnění požadavků dle § 7 odst. 1 zákona č. 406/2000 Sb.</w:t>
      </w:r>
    </w:p>
    <w:p w14:paraId="5EF84B41" w14:textId="77777777" w:rsidR="009D7FD7" w:rsidRPr="00BB7147" w:rsidRDefault="009D7FD7" w:rsidP="007D1731">
      <w:pPr>
        <w:pStyle w:val="Odstavecseseznamem"/>
        <w:numPr>
          <w:ilvl w:val="0"/>
          <w:numId w:val="43"/>
        </w:numPr>
        <w:suppressAutoHyphens/>
        <w:spacing w:before="0" w:beforeAutospacing="0" w:after="120" w:afterAutospacing="0"/>
        <w:ind w:left="709" w:hanging="425"/>
        <w:contextualSpacing w:val="0"/>
      </w:pPr>
      <w:r w:rsidRPr="006D2720">
        <w:t xml:space="preserve">V případě částečné či úplné demolice budovy, při které zaniká </w:t>
      </w:r>
      <w:r w:rsidRPr="006D2720">
        <w:rPr>
          <w:u w:val="single"/>
        </w:rPr>
        <w:t xml:space="preserve">větší část obálky budovy </w:t>
      </w:r>
      <w:r w:rsidRPr="006D2720">
        <w:t>(dle SEI</w:t>
      </w:r>
      <w:r w:rsidRPr="006D2720">
        <w:rPr>
          <w:u w:val="single"/>
        </w:rPr>
        <w:t xml:space="preserve"> </w:t>
      </w:r>
      <w:r w:rsidRPr="006D2720">
        <w:t>zůstane méně, než jedna zeď obálky budovy do výšky převyšují 1.NP), zaniká i budova ve smyslu zákona č. 406/2000 Sb. V takových případech se pro účely energetického hodnocení jedná o výstavbu nové budovy a vyžaduje se plnění požadavků dle § 7 odst. 1 zákona č. 406/2000 Sb. Dle § 2 odst. 1 písm. p) zákona č. 406/2000 Sb. o hospodaření energií se budovou rozumí „</w:t>
      </w:r>
      <w:r w:rsidRPr="006D2720">
        <w:rPr>
          <w:i/>
        </w:rPr>
        <w:t>nadzemní stavba a její podzemní části, prostorově soustředěná a navenek převážně uzavřená obvodovými stěnami a střešní konstrukcí, v níž se používá energie k úpravě vnitřního prostředí za účelem vytápění nebo chlazení.</w:t>
      </w:r>
      <w:r w:rsidRPr="006D2720">
        <w:t>“</w:t>
      </w:r>
    </w:p>
    <w:p w14:paraId="4AD8224A" w14:textId="77777777" w:rsidR="00735300" w:rsidRPr="002602DA" w:rsidRDefault="00735300" w:rsidP="002602DA">
      <w:pPr>
        <w:pStyle w:val="Vnitnadresa"/>
        <w:spacing w:after="120" w:line="240" w:lineRule="auto"/>
        <w:rPr>
          <w:rFonts w:asciiTheme="minorHAnsi" w:hAnsiTheme="minorHAnsi" w:cstheme="minorHAnsi"/>
          <w:spacing w:val="0"/>
          <w:sz w:val="22"/>
          <w:szCs w:val="22"/>
          <w:u w:val="single"/>
          <w:lang w:eastAsia="cs-CZ"/>
        </w:rPr>
      </w:pPr>
    </w:p>
    <w:p w14:paraId="7ECA9E69" w14:textId="77777777" w:rsidR="00873035" w:rsidRPr="000163D3" w:rsidRDefault="00873035" w:rsidP="00263713">
      <w:pPr>
        <w:pStyle w:val="Nadpis2"/>
        <w:keepLines w:val="0"/>
        <w:numPr>
          <w:ilvl w:val="1"/>
          <w:numId w:val="45"/>
        </w:numPr>
        <w:spacing w:before="360" w:after="100"/>
        <w:ind w:left="426" w:hanging="426"/>
        <w:rPr>
          <w:sz w:val="28"/>
          <w:szCs w:val="28"/>
        </w:rPr>
      </w:pPr>
      <w:r w:rsidRPr="000163D3">
        <w:rPr>
          <w:sz w:val="28"/>
          <w:szCs w:val="28"/>
        </w:rPr>
        <w:lastRenderedPageBreak/>
        <w:t>Projekt demolice a výstavby budovy</w:t>
      </w:r>
    </w:p>
    <w:p w14:paraId="3E2C2B44" w14:textId="74975A78" w:rsidR="00873035" w:rsidRPr="007379F5" w:rsidRDefault="00873035" w:rsidP="004B1BA3">
      <w:pPr>
        <w:pStyle w:val="Nadpis3"/>
        <w:spacing w:before="0" w:beforeAutospacing="0" w:after="120" w:afterAutospacing="0"/>
      </w:pPr>
      <w:r w:rsidRPr="007379F5">
        <w:t>Technick</w:t>
      </w:r>
      <w:r>
        <w:t>á kritéria</w:t>
      </w:r>
    </w:p>
    <w:p w14:paraId="3F8492C4" w14:textId="77777777" w:rsidR="00873035" w:rsidRDefault="00873035" w:rsidP="004B1BA3">
      <w:pPr>
        <w:spacing w:before="0" w:beforeAutospacing="0" w:after="120" w:afterAutospacing="0"/>
      </w:pPr>
      <w:r w:rsidRPr="008F6B3D">
        <w:t>Průkaz energetické náročnosti budovy (dále jen „PENB“) bude zpracován pro požadavky na energetickou náročnost budovy s téměř nulovou spotřebou od 1. 1. 2022 dle vyhlášky č. 264/2020 Sb. Plnění požadavků se kontroluje v PENB část I – přehled plnění závazných požadavků vyhlášky a v grafické části PENB.</w:t>
      </w:r>
    </w:p>
    <w:p w14:paraId="5BFF327B" w14:textId="77777777" w:rsidR="00873035" w:rsidRPr="008F6B3D" w:rsidRDefault="00873035" w:rsidP="004B1BA3">
      <w:pPr>
        <w:spacing w:before="0" w:beforeAutospacing="0" w:after="120" w:afterAutospacing="0"/>
      </w:pPr>
      <w:r>
        <w:t xml:space="preserve">Budova musí splnit minimálně legislativní požadavky na energetickou náročnost dle zákona č.406/2000 Sb. a prováděcí vyhlášky č. 264/2020 Sb. ve znění pozdějších předpisů. Plnění požadavků se legislativně vztahuje k okamžiku podání žádosti o stavební povolení. Budova musí dále splnit požadavky uvedené v tabulce níže. </w:t>
      </w:r>
      <w:r w:rsidRPr="002E651C">
        <w:rPr>
          <w:bCs/>
        </w:rPr>
        <w:t>Úroveň podpory</w:t>
      </w:r>
      <w:r>
        <w:t xml:space="preserve"> řeší minimální energetické standardy požadované pro danou oblast podpory, tedy plnění požadavků o 20 % přísnějších, než činí legislativní požadavek na výstavbu nových budov (NZEB – budov s téměř nulovou spotřebou energie), jak požaduje CID v návaznosti na Metodiku sledování klimatu, která je přílohou VI Nařízení Evropského parlamentu a Rady (EU) 2021/241.</w:t>
      </w:r>
    </w:p>
    <w:tbl>
      <w:tblPr>
        <w:tblpPr w:leftFromText="141" w:rightFromText="141" w:vertAnchor="text" w:horzAnchor="margin" w:tblpY="1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71"/>
        <w:gridCol w:w="3757"/>
      </w:tblGrid>
      <w:tr w:rsidR="003F2DB5" w:rsidRPr="00EF0899" w14:paraId="64D2EA02" w14:textId="77777777" w:rsidTr="00675802">
        <w:trPr>
          <w:trHeight w:val="406"/>
        </w:trPr>
        <w:tc>
          <w:tcPr>
            <w:tcW w:w="3049" w:type="pct"/>
            <w:shd w:val="clear" w:color="auto" w:fill="6BB9FF" w:themeFill="text2" w:themeFillTint="66"/>
            <w:vAlign w:val="center"/>
          </w:tcPr>
          <w:p w14:paraId="5A970335" w14:textId="77777777" w:rsidR="003F2DB5" w:rsidRPr="00EF0899" w:rsidRDefault="003F2DB5" w:rsidP="00675802">
            <w:pPr>
              <w:rPr>
                <w:color w:val="000000"/>
              </w:rPr>
            </w:pPr>
            <w:r w:rsidRPr="00EF0899">
              <w:t>Sledovaný ukazatel</w:t>
            </w:r>
          </w:p>
        </w:tc>
        <w:tc>
          <w:tcPr>
            <w:tcW w:w="1951" w:type="pct"/>
            <w:shd w:val="clear" w:color="auto" w:fill="6BB9FF" w:themeFill="text2" w:themeFillTint="66"/>
            <w:vAlign w:val="center"/>
          </w:tcPr>
          <w:p w14:paraId="6E62F160" w14:textId="77777777" w:rsidR="003F2DB5" w:rsidRPr="00EF0899" w:rsidRDefault="003F2DB5" w:rsidP="00675802">
            <w:r>
              <w:t>Úroveň podpory</w:t>
            </w:r>
          </w:p>
        </w:tc>
      </w:tr>
      <w:tr w:rsidR="003F2DB5" w:rsidRPr="00EF0899" w14:paraId="311C7380" w14:textId="77777777" w:rsidTr="00675802">
        <w:trPr>
          <w:trHeight w:val="290"/>
        </w:trPr>
        <w:tc>
          <w:tcPr>
            <w:tcW w:w="3049" w:type="pct"/>
            <w:vAlign w:val="center"/>
          </w:tcPr>
          <w:p w14:paraId="2956D68B" w14:textId="28AB489D" w:rsidR="003F2DB5" w:rsidRDefault="003F2DB5" w:rsidP="00675802">
            <w:pPr>
              <w:rPr>
                <w:color w:val="000000"/>
              </w:rPr>
            </w:pPr>
            <w:r w:rsidRPr="00EF0899">
              <w:t xml:space="preserve">Primární energie z neobnovitelných zdrojů </w:t>
            </w:r>
            <w:r w:rsidR="000457E2">
              <w:t>(povinné)</w:t>
            </w:r>
          </w:p>
        </w:tc>
        <w:tc>
          <w:tcPr>
            <w:tcW w:w="1951" w:type="pct"/>
            <w:vAlign w:val="center"/>
          </w:tcPr>
          <w:p w14:paraId="03716AD7" w14:textId="77777777" w:rsidR="003F2DB5" w:rsidRPr="002537C1" w:rsidRDefault="003F2DB5" w:rsidP="00675802">
            <w:pPr>
              <w:jc w:val="center"/>
              <w:rPr>
                <w:vertAlign w:val="subscript"/>
              </w:rPr>
            </w:pPr>
            <w:proofErr w:type="spellStart"/>
            <w:proofErr w:type="gramStart"/>
            <w:r w:rsidRPr="00EF0899">
              <w:t>E</w:t>
            </w:r>
            <w:r w:rsidRPr="00EF0899">
              <w:rPr>
                <w:rStyle w:val="a10"/>
                <w:vertAlign w:val="subscript"/>
              </w:rPr>
              <w:t>pN,A</w:t>
            </w:r>
            <w:proofErr w:type="spellEnd"/>
            <w:proofErr w:type="gramEnd"/>
            <w:r w:rsidRPr="00EF0899">
              <w:t xml:space="preserve"> ≤ 0,80. E</w:t>
            </w:r>
            <w:r w:rsidRPr="00EF0899">
              <w:rPr>
                <w:vertAlign w:val="subscript"/>
              </w:rPr>
              <w:t>R</w:t>
            </w:r>
            <w:r w:rsidRPr="002537C1">
              <w:t>*</w:t>
            </w:r>
            <w:r>
              <w:br/>
            </w:r>
          </w:p>
        </w:tc>
      </w:tr>
      <w:tr w:rsidR="003F2DB5" w:rsidRPr="00EF0899" w14:paraId="53B38787" w14:textId="77777777" w:rsidTr="00675802">
        <w:trPr>
          <w:trHeight w:val="406"/>
        </w:trPr>
        <w:tc>
          <w:tcPr>
            <w:tcW w:w="3049" w:type="pct"/>
            <w:vAlign w:val="center"/>
          </w:tcPr>
          <w:p w14:paraId="2B87D496" w14:textId="348D2037" w:rsidR="003F2DB5" w:rsidRPr="00EF0899" w:rsidRDefault="003F2DB5" w:rsidP="00675802">
            <w:pPr>
              <w:rPr>
                <w:color w:val="000000"/>
              </w:rPr>
            </w:pPr>
            <w:r w:rsidRPr="00EF0899">
              <w:t>Průměrný součinitel prostupu tepla</w:t>
            </w:r>
            <w:r w:rsidR="000457E2">
              <w:t xml:space="preserve"> (doporučující)</w:t>
            </w:r>
          </w:p>
        </w:tc>
        <w:tc>
          <w:tcPr>
            <w:tcW w:w="1951" w:type="pct"/>
            <w:vAlign w:val="center"/>
          </w:tcPr>
          <w:p w14:paraId="14F3453A" w14:textId="77777777" w:rsidR="003F2DB5" w:rsidRPr="00EF0899" w:rsidRDefault="003F2DB5" w:rsidP="00675802">
            <w:pPr>
              <w:jc w:val="center"/>
              <w:rPr>
                <w:color w:val="000000"/>
              </w:rPr>
            </w:pPr>
            <w:proofErr w:type="spellStart"/>
            <w:r w:rsidRPr="00EF0899">
              <w:t>U</w:t>
            </w:r>
            <w:r w:rsidRPr="00EF0899">
              <w:rPr>
                <w:vertAlign w:val="subscript"/>
              </w:rPr>
              <w:t>em</w:t>
            </w:r>
            <w:proofErr w:type="spellEnd"/>
            <w:r w:rsidRPr="00EF0899">
              <w:t xml:space="preserve"> ≤ 0,35 W.m</w:t>
            </w:r>
            <w:r w:rsidRPr="00EF0899">
              <w:rPr>
                <w:vertAlign w:val="superscript"/>
              </w:rPr>
              <w:t>-</w:t>
            </w:r>
            <w:proofErr w:type="gramStart"/>
            <w:r w:rsidRPr="00EF0899">
              <w:rPr>
                <w:vertAlign w:val="superscript"/>
              </w:rPr>
              <w:t>2</w:t>
            </w:r>
            <w:r w:rsidRPr="00EF0899">
              <w:t>K</w:t>
            </w:r>
            <w:proofErr w:type="gramEnd"/>
            <w:r w:rsidRPr="00EF0899">
              <w:rPr>
                <w:vertAlign w:val="superscript"/>
              </w:rPr>
              <w:t>-1</w:t>
            </w:r>
          </w:p>
        </w:tc>
      </w:tr>
      <w:tr w:rsidR="003F2DB5" w:rsidRPr="00EF0899" w14:paraId="36731800" w14:textId="77777777" w:rsidTr="00675802">
        <w:trPr>
          <w:trHeight w:val="406"/>
        </w:trPr>
        <w:tc>
          <w:tcPr>
            <w:tcW w:w="3049" w:type="pct"/>
            <w:vAlign w:val="center"/>
          </w:tcPr>
          <w:p w14:paraId="29632E7F" w14:textId="5ADCF26B" w:rsidR="003F2DB5" w:rsidRPr="00EF0899" w:rsidRDefault="003F2DB5" w:rsidP="00675802">
            <w:r w:rsidRPr="00EF0899">
              <w:t>Nejvyšší denní teplota vzduchu v místnosti v letním období</w:t>
            </w:r>
            <w:r w:rsidR="000457E2">
              <w:t xml:space="preserve"> (</w:t>
            </w:r>
            <w:proofErr w:type="spellStart"/>
            <w:r w:rsidR="000457E2">
              <w:t>dopopručující</w:t>
            </w:r>
            <w:proofErr w:type="spellEnd"/>
            <w:r w:rsidR="000457E2">
              <w:t>)</w:t>
            </w:r>
          </w:p>
        </w:tc>
        <w:tc>
          <w:tcPr>
            <w:tcW w:w="1951" w:type="pct"/>
            <w:vAlign w:val="center"/>
          </w:tcPr>
          <w:p w14:paraId="5CFB798E" w14:textId="77777777" w:rsidR="003F2DB5" w:rsidRPr="00EF0899" w:rsidRDefault="003F2DB5" w:rsidP="00675802">
            <w:pPr>
              <w:jc w:val="center"/>
            </w:pPr>
            <w:r w:rsidRPr="00EF0899">
              <w:t xml:space="preserve">≤ </w:t>
            </w:r>
            <w:proofErr w:type="spellStart"/>
            <w:proofErr w:type="gramStart"/>
            <w:r w:rsidRPr="00EF0899">
              <w:t>Ɵ</w:t>
            </w:r>
            <w:r w:rsidRPr="00EF0899">
              <w:rPr>
                <w:vertAlign w:val="subscript"/>
              </w:rPr>
              <w:t>ai,max</w:t>
            </w:r>
            <w:proofErr w:type="gramEnd"/>
            <w:r w:rsidRPr="00EF0899">
              <w:rPr>
                <w:vertAlign w:val="subscript"/>
              </w:rPr>
              <w:t>,N</w:t>
            </w:r>
            <w:proofErr w:type="spellEnd"/>
          </w:p>
        </w:tc>
      </w:tr>
    </w:tbl>
    <w:p w14:paraId="786C828D" w14:textId="77777777" w:rsidR="003F2DB5" w:rsidRDefault="003F2DB5" w:rsidP="003F2DB5">
      <w:r>
        <w:t>*</w:t>
      </w:r>
      <w:r w:rsidRPr="002537C1">
        <w:t>klasifikace A dle PENB po 1.1.2022</w:t>
      </w:r>
    </w:p>
    <w:p w14:paraId="75D95128" w14:textId="49198373" w:rsidR="003F2DB5" w:rsidRPr="0039216D" w:rsidRDefault="003F2DB5" w:rsidP="005B5DC7">
      <w:pPr>
        <w:keepNext/>
        <w:spacing w:before="0" w:beforeAutospacing="0" w:after="0" w:afterAutospacing="0"/>
        <w:rPr>
          <w:b/>
        </w:rPr>
      </w:pPr>
      <w:r>
        <w:rPr>
          <w:b/>
        </w:rPr>
        <w:t>POVINNÉ KRITÉRIUM</w:t>
      </w:r>
    </w:p>
    <w:p w14:paraId="2D0B6823" w14:textId="77777777" w:rsidR="003F2DB5" w:rsidRPr="00AB3919" w:rsidRDefault="003F2DB5" w:rsidP="005B5DC7">
      <w:pPr>
        <w:pStyle w:val="Odstavecseseznamem"/>
        <w:numPr>
          <w:ilvl w:val="0"/>
          <w:numId w:val="46"/>
        </w:numPr>
        <w:suppressAutoHyphens/>
        <w:spacing w:before="0" w:beforeAutospacing="0" w:after="0" w:afterAutospacing="0"/>
        <w:contextualSpacing w:val="0"/>
      </w:pPr>
      <w:r w:rsidRPr="00AB3919">
        <w:rPr>
          <w:b/>
        </w:rPr>
        <w:t xml:space="preserve">Dosažená hodnota primární energie z neobnovitelných zdrojů </w:t>
      </w:r>
      <w:r w:rsidRPr="00AB3919">
        <w:t xml:space="preserve">– Hlavní kritérium definující snížení spotřeby </w:t>
      </w:r>
      <w:r>
        <w:t xml:space="preserve">primární energie z neobnovitelných zdrojů jako hlavního ukazatele energetické náročnosti budovy </w:t>
      </w:r>
      <w:r w:rsidRPr="00AB3919">
        <w:t>o 20</w:t>
      </w:r>
      <w:r>
        <w:t xml:space="preserve"> </w:t>
      </w:r>
      <w:r w:rsidRPr="00AB3919">
        <w:t xml:space="preserve">% oproti požadavku na budovu s téměř nulovou spotřebou energie (NZEB). </w:t>
      </w:r>
      <w:r>
        <w:t xml:space="preserve">Tato úroveň odpovídá klasifikační třídě A – mimořádně úsporná v grafické části PENB. </w:t>
      </w:r>
    </w:p>
    <w:p w14:paraId="6A9111FA" w14:textId="64B88930" w:rsidR="003F2DB5" w:rsidRPr="006D2720" w:rsidRDefault="003F2DB5" w:rsidP="005B5DC7">
      <w:pPr>
        <w:suppressAutoHyphens/>
        <w:spacing w:before="0" w:beforeAutospacing="0" w:after="0" w:afterAutospacing="0"/>
      </w:pPr>
      <w:r w:rsidRPr="007149A1">
        <w:t>DOPORUČUJÍCÍ KRITÉRIA</w:t>
      </w:r>
    </w:p>
    <w:p w14:paraId="29A6E341" w14:textId="2F79B13C" w:rsidR="003F2DB5" w:rsidRDefault="003F2DB5" w:rsidP="005B5DC7">
      <w:pPr>
        <w:pStyle w:val="Odstavecseseznamem"/>
        <w:numPr>
          <w:ilvl w:val="0"/>
          <w:numId w:val="46"/>
        </w:numPr>
        <w:suppressAutoHyphens/>
        <w:spacing w:before="0" w:beforeAutospacing="0" w:after="0" w:afterAutospacing="0"/>
        <w:contextualSpacing w:val="0"/>
      </w:pPr>
      <w:r w:rsidRPr="007379F5">
        <w:rPr>
          <w:b/>
        </w:rPr>
        <w:t xml:space="preserve">Průměrný součinitel prostupu tepla </w:t>
      </w:r>
      <w:proofErr w:type="spellStart"/>
      <w:r w:rsidRPr="007379F5">
        <w:t>U</w:t>
      </w:r>
      <w:r w:rsidRPr="007379F5">
        <w:rPr>
          <w:vertAlign w:val="subscript"/>
        </w:rPr>
        <w:t>em</w:t>
      </w:r>
      <w:proofErr w:type="spellEnd"/>
      <w:r w:rsidRPr="007379F5">
        <w:t xml:space="preserve"> ≤ 0,35 W. m</w:t>
      </w:r>
      <w:r w:rsidRPr="007379F5">
        <w:rPr>
          <w:vertAlign w:val="superscript"/>
        </w:rPr>
        <w:t>-</w:t>
      </w:r>
      <w:proofErr w:type="gramStart"/>
      <w:r w:rsidRPr="007379F5">
        <w:rPr>
          <w:vertAlign w:val="superscript"/>
        </w:rPr>
        <w:t>2</w:t>
      </w:r>
      <w:r w:rsidRPr="007379F5">
        <w:t>K</w:t>
      </w:r>
      <w:proofErr w:type="gramEnd"/>
      <w:r w:rsidRPr="007379F5">
        <w:rPr>
          <w:vertAlign w:val="superscript"/>
        </w:rPr>
        <w:t>-1</w:t>
      </w:r>
      <w:r w:rsidRPr="007379F5">
        <w:t xml:space="preserve"> – </w:t>
      </w:r>
      <w:r>
        <w:t>Jedná se doplňující kritérium zajišťující kvalitu obálky budovy. H</w:t>
      </w:r>
      <w:r w:rsidRPr="007379F5">
        <w:t xml:space="preserve">odnota se stanovuje z PENB. V části I – přehled plnění závazných požadavků vyhlášky musí být hodnota průměrného součinitele prostupu tepla </w:t>
      </w:r>
      <w:proofErr w:type="spellStart"/>
      <w:r w:rsidRPr="007379F5">
        <w:t>U</w:t>
      </w:r>
      <w:r w:rsidRPr="007379F5">
        <w:rPr>
          <w:vertAlign w:val="subscript"/>
        </w:rPr>
        <w:t>em</w:t>
      </w:r>
      <w:proofErr w:type="spellEnd"/>
      <w:r w:rsidRPr="007379F5">
        <w:t xml:space="preserve"> pro hodnocenou budovu nižší nebo rovna než uvedený požadavek.</w:t>
      </w:r>
    </w:p>
    <w:p w14:paraId="0268F49B" w14:textId="77777777" w:rsidR="003F2DB5" w:rsidRPr="008F6B3D" w:rsidRDefault="003F2DB5" w:rsidP="005B5DC7">
      <w:pPr>
        <w:pStyle w:val="Odstavecseseznamem"/>
        <w:numPr>
          <w:ilvl w:val="0"/>
          <w:numId w:val="46"/>
        </w:numPr>
        <w:suppressAutoHyphens/>
        <w:spacing w:before="0" w:beforeAutospacing="0" w:after="0" w:afterAutospacing="0"/>
        <w:contextualSpacing w:val="0"/>
        <w:rPr>
          <w:b/>
        </w:rPr>
      </w:pPr>
      <w:r w:rsidRPr="008F6B3D">
        <w:rPr>
          <w:b/>
        </w:rPr>
        <w:t>Nejvyšší denní teplota vzduchu v místnosti v letním období –</w:t>
      </w:r>
      <w:r w:rsidRPr="008F6B3D">
        <w:t xml:space="preserve"> jedná se kritérium definované </w:t>
      </w:r>
      <w:r>
        <w:t xml:space="preserve">na základě požadavku vyhlášky č. 268/2009 Sb. o technických požadavcích na stavby a zde odkázané </w:t>
      </w:r>
      <w:r w:rsidRPr="008F6B3D">
        <w:t>ČSN 730540-2. Cílem je zajistit kvalitní vnitřní prostředí v budovách a zabránit riziku přehřívání</w:t>
      </w:r>
      <w:r>
        <w:t xml:space="preserve"> vnitřních prostor</w:t>
      </w:r>
      <w:r w:rsidRPr="008F6B3D">
        <w:t>.</w:t>
      </w:r>
      <w:r>
        <w:t xml:space="preserve"> Definuje kvalitu vnitřního prostředí, která je ve stavební praxi často přehlížena.</w:t>
      </w:r>
    </w:p>
    <w:p w14:paraId="7B7AF145" w14:textId="66B41735" w:rsidR="004B1BA3" w:rsidRPr="007149A1" w:rsidRDefault="003F2DB5" w:rsidP="005B5DC7">
      <w:pPr>
        <w:spacing w:before="0" w:beforeAutospacing="0" w:after="0" w:afterAutospacing="0"/>
        <w:rPr>
          <w:b/>
        </w:rPr>
      </w:pPr>
      <w:r w:rsidRPr="007149A1">
        <w:rPr>
          <w:b/>
        </w:rPr>
        <w:t xml:space="preserve">K žádosti o zařazení do programu </w:t>
      </w:r>
      <w:r w:rsidR="007149A1" w:rsidRPr="007149A1">
        <w:rPr>
          <w:b/>
        </w:rPr>
        <w:t xml:space="preserve">nebo k žádosti o první platbu </w:t>
      </w:r>
      <w:r w:rsidRPr="007149A1">
        <w:rPr>
          <w:b/>
        </w:rPr>
        <w:t xml:space="preserve">bude předložen energetický posudek potvrzujícím splnění podmínky </w:t>
      </w:r>
      <w:proofErr w:type="spellStart"/>
      <w:proofErr w:type="gramStart"/>
      <w:r w:rsidRPr="007149A1">
        <w:t>E</w:t>
      </w:r>
      <w:r w:rsidRPr="007149A1">
        <w:rPr>
          <w:rStyle w:val="a10"/>
          <w:vertAlign w:val="subscript"/>
        </w:rPr>
        <w:t>pN,A</w:t>
      </w:r>
      <w:proofErr w:type="spellEnd"/>
      <w:proofErr w:type="gramEnd"/>
      <w:r w:rsidRPr="007149A1">
        <w:t xml:space="preserve"> ≤ 0,80. E</w:t>
      </w:r>
      <w:r w:rsidRPr="007149A1">
        <w:rPr>
          <w:vertAlign w:val="subscript"/>
        </w:rPr>
        <w:t>R</w:t>
      </w:r>
    </w:p>
    <w:p w14:paraId="75F37131" w14:textId="13F055AA" w:rsidR="003F2DB5" w:rsidRDefault="003F2DB5" w:rsidP="004B1BA3">
      <w:pPr>
        <w:spacing w:before="0" w:beforeAutospacing="0" w:after="120" w:afterAutospacing="0"/>
        <w:rPr>
          <w:b/>
        </w:rPr>
      </w:pPr>
      <w:r w:rsidRPr="007149A1">
        <w:rPr>
          <w:b/>
        </w:rPr>
        <w:t>P</w:t>
      </w:r>
      <w:r w:rsidR="00AE6034" w:rsidRPr="007149A1">
        <w:rPr>
          <w:b/>
        </w:rPr>
        <w:t>o</w:t>
      </w:r>
      <w:r w:rsidRPr="007149A1">
        <w:rPr>
          <w:b/>
        </w:rPr>
        <w:t xml:space="preserve"> dokončení reali</w:t>
      </w:r>
      <w:r w:rsidR="00AE6034" w:rsidRPr="007149A1">
        <w:rPr>
          <w:b/>
        </w:rPr>
        <w:t>za</w:t>
      </w:r>
      <w:r w:rsidRPr="007149A1">
        <w:rPr>
          <w:b/>
        </w:rPr>
        <w:t>ce bude předložen energetický posudek a průkaz energetické náročnosti budovy (dále jen PENB)</w:t>
      </w:r>
    </w:p>
    <w:p w14:paraId="7176EB39" w14:textId="77777777" w:rsidR="004B1BA3" w:rsidRPr="004B1BA3" w:rsidRDefault="004B1BA3" w:rsidP="004B1BA3">
      <w:pPr>
        <w:spacing w:before="0" w:beforeAutospacing="0" w:after="120" w:afterAutospacing="0"/>
        <w:rPr>
          <w:b/>
        </w:rPr>
      </w:pPr>
    </w:p>
    <w:p w14:paraId="7BBF4ACF" w14:textId="1D8067B0" w:rsidR="00873035" w:rsidRPr="000163D3" w:rsidRDefault="00C1415C" w:rsidP="00263713">
      <w:pPr>
        <w:pStyle w:val="Nadpis2"/>
        <w:keepLines w:val="0"/>
        <w:numPr>
          <w:ilvl w:val="1"/>
          <w:numId w:val="45"/>
        </w:numPr>
        <w:spacing w:before="0" w:beforeAutospacing="0" w:after="120" w:afterAutospacing="0"/>
        <w:ind w:left="426" w:hanging="426"/>
        <w:rPr>
          <w:sz w:val="28"/>
          <w:szCs w:val="28"/>
        </w:rPr>
      </w:pPr>
      <w:r>
        <w:rPr>
          <w:sz w:val="28"/>
          <w:szCs w:val="28"/>
        </w:rPr>
        <w:lastRenderedPageBreak/>
        <w:t>P</w:t>
      </w:r>
      <w:r w:rsidR="00873035" w:rsidRPr="000163D3">
        <w:rPr>
          <w:sz w:val="28"/>
          <w:szCs w:val="28"/>
        </w:rPr>
        <w:t>rojekt renovace</w:t>
      </w:r>
    </w:p>
    <w:p w14:paraId="1A887A6F" w14:textId="77777777" w:rsidR="00873035" w:rsidRPr="00B31539" w:rsidRDefault="00873035" w:rsidP="004B1BA3">
      <w:pPr>
        <w:pStyle w:val="Nadpis3"/>
        <w:spacing w:before="0" w:beforeAutospacing="0" w:after="120" w:afterAutospacing="0"/>
      </w:pPr>
      <w:bookmarkStart w:id="0" w:name="_GoBack"/>
      <w:bookmarkEnd w:id="0"/>
      <w:r w:rsidRPr="00B31539">
        <w:t>Technická kritéria</w:t>
      </w:r>
    </w:p>
    <w:p w14:paraId="6D23EFB6" w14:textId="77777777" w:rsidR="00873035" w:rsidRDefault="00873035" w:rsidP="004B1BA3">
      <w:pPr>
        <w:spacing w:before="0" w:beforeAutospacing="0" w:after="120" w:afterAutospacing="0"/>
      </w:pPr>
      <w:r w:rsidRPr="004B29B4">
        <w:t>Průkaz energetické náročnosti budovy (dále jen „PENB“) bude zpracován pro požadavky na energetickou náročnost budovy větší změny dokončené budovy nebo jiné něž větší změny dokončené budovy dle vyhlášky č. 264/2020 Sb. Plnění požadavků se kontroluje v PENB část I – přehled plnění závazných požadavků vyhlášky a v grafické části PENB.</w:t>
      </w:r>
    </w:p>
    <w:p w14:paraId="16B0053E" w14:textId="18FE5790" w:rsidR="00873035" w:rsidRDefault="00873035" w:rsidP="004B1BA3">
      <w:pPr>
        <w:spacing w:before="0" w:beforeAutospacing="0" w:after="120" w:afterAutospacing="0"/>
      </w:pPr>
      <w:r>
        <w:t xml:space="preserve">Budova musí splnit minimálně legislativní požadavky na energetickou náročnost dle zákona č.406/2000 Sb. a prováděcí vyhlášky č. 264/2020 Sb. ve znění pozdějších předpisů. Plnění požadavků se legislativně vztahuje k okamžiku podání žádosti o stavební povolení. </w:t>
      </w:r>
    </w:p>
    <w:p w14:paraId="057F1020" w14:textId="7CDF8DF6" w:rsidR="002D412B" w:rsidRPr="005B5DC7" w:rsidRDefault="00C1415C" w:rsidP="002D412B">
      <w:pPr>
        <w:pStyle w:val="Nadpis3"/>
        <w:spacing w:before="0" w:beforeAutospacing="0" w:after="120" w:afterAutospacing="0"/>
        <w:rPr>
          <w:sz w:val="22"/>
          <w:szCs w:val="22"/>
        </w:rPr>
      </w:pPr>
      <w:r w:rsidRPr="005B5DC7">
        <w:rPr>
          <w:sz w:val="22"/>
          <w:szCs w:val="22"/>
        </w:rPr>
        <w:t xml:space="preserve">U projektu Renovace musí </w:t>
      </w:r>
      <w:r w:rsidRPr="005B5DC7">
        <w:rPr>
          <w:bCs/>
          <w:sz w:val="22"/>
          <w:szCs w:val="22"/>
        </w:rPr>
        <w:t xml:space="preserve">dojít k úspoře spotřeby primární energie z neobnovitelných zdrojů energie </w:t>
      </w:r>
      <w:r w:rsidRPr="005B5DC7">
        <w:rPr>
          <w:sz w:val="22"/>
          <w:szCs w:val="22"/>
        </w:rPr>
        <w:t>oproti výchozímu stavu budovy dle energetického posudku zvolenému v souladu s podmínkami programu</w:t>
      </w:r>
      <w:r w:rsidR="002D412B" w:rsidRPr="005B5DC7">
        <w:rPr>
          <w:sz w:val="22"/>
          <w:szCs w:val="22"/>
        </w:rPr>
        <w:t>.</w:t>
      </w:r>
    </w:p>
    <w:p w14:paraId="0DBA8F56" w14:textId="4A6E62A1" w:rsidR="002D412B" w:rsidRPr="002D412B" w:rsidRDefault="002D412B" w:rsidP="002D41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b/>
        </w:rPr>
      </w:pPr>
      <w:r w:rsidRPr="002D412B">
        <w:rPr>
          <w:b/>
          <w:bCs/>
        </w:rPr>
        <w:t>Realizací projektu nesmí dojít k navýšení emisí CO</w:t>
      </w:r>
      <w:r w:rsidRPr="002D412B">
        <w:rPr>
          <w:b/>
          <w:bCs/>
          <w:vertAlign w:val="subscript"/>
        </w:rPr>
        <w:t>2</w:t>
      </w:r>
      <w:r w:rsidRPr="002D412B">
        <w:rPr>
          <w:b/>
        </w:rPr>
        <w:t xml:space="preserve"> s výjimkou projektu budov s památkovou ochranou</w:t>
      </w:r>
      <w:r>
        <w:rPr>
          <w:b/>
        </w:rPr>
        <w:t>.</w:t>
      </w:r>
    </w:p>
    <w:p w14:paraId="7DE4908B" w14:textId="77777777" w:rsidR="002D412B" w:rsidRDefault="002D412B" w:rsidP="002D412B">
      <w:pPr>
        <w:pStyle w:val="Nadpis3"/>
        <w:spacing w:before="0" w:beforeAutospacing="0" w:after="120" w:afterAutospacing="0"/>
      </w:pPr>
    </w:p>
    <w:p w14:paraId="17D1A1AF" w14:textId="77777777" w:rsidR="002D412B" w:rsidRDefault="00873035" w:rsidP="002D412B">
      <w:pPr>
        <w:pStyle w:val="Nadpis3"/>
        <w:spacing w:before="0" w:beforeAutospacing="0" w:after="120" w:afterAutospacing="0"/>
      </w:pPr>
      <w:r>
        <w:t xml:space="preserve">Postup budovy s památkovou ochranou: </w:t>
      </w:r>
    </w:p>
    <w:p w14:paraId="36FEA984" w14:textId="28AD34DC" w:rsidR="00873035" w:rsidRPr="002D412B" w:rsidRDefault="00873035" w:rsidP="002D412B">
      <w:pPr>
        <w:pStyle w:val="Nadpis3"/>
        <w:spacing w:before="0" w:beforeAutospacing="0" w:after="120" w:afterAutospacing="0"/>
        <w:rPr>
          <w:b w:val="0"/>
        </w:rPr>
      </w:pPr>
      <w:r w:rsidRPr="002D412B">
        <w:rPr>
          <w:b w:val="0"/>
        </w:rPr>
        <w:t xml:space="preserve">Kritéria pro změnu dokončené budovy, která je památkově chráněna, se vztahuje na budovy uvedené v zákoně č. 20/1987 Sb., o státní památkové péči, v platném znění, jako kulturní památka nebo budovy, které nejsou kulturní památkou, ale nachází se v památkové rezervaci, v památkové zóně nebo v ochranném pásmu nemovité kulturní památky, nemovité národní kulturní památky, památkové rezervace nebo památkové zóny. Předpokladem pro aplikaci tohoto kritéria je </w:t>
      </w:r>
      <w:r w:rsidRPr="002D412B">
        <w:rPr>
          <w:b w:val="0"/>
          <w:bCs/>
        </w:rPr>
        <w:t xml:space="preserve">závazné stanovisko orgánu památkové péče </w:t>
      </w:r>
      <w:r w:rsidRPr="002D412B">
        <w:rPr>
          <w:b w:val="0"/>
        </w:rPr>
        <w:t xml:space="preserve">omezující rozsah renovace a nemožnost splnění kritérií pro </w:t>
      </w:r>
      <w:proofErr w:type="spellStart"/>
      <w:r w:rsidRPr="002D412B">
        <w:rPr>
          <w:b w:val="0"/>
        </w:rPr>
        <w:t>nepamátkově</w:t>
      </w:r>
      <w:proofErr w:type="spellEnd"/>
      <w:r w:rsidRPr="002D412B">
        <w:rPr>
          <w:b w:val="0"/>
        </w:rPr>
        <w:t xml:space="preserve"> chráněné objekty. </w:t>
      </w:r>
    </w:p>
    <w:p w14:paraId="0A8A222B" w14:textId="2F9D794E" w:rsidR="00C1415C" w:rsidRDefault="00C1415C" w:rsidP="00030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b/>
          <w:bCs/>
        </w:rPr>
      </w:pPr>
    </w:p>
    <w:p w14:paraId="73637A5B" w14:textId="77777777" w:rsidR="00873035" w:rsidRPr="00263713" w:rsidRDefault="00873035" w:rsidP="00263713">
      <w:pPr>
        <w:pStyle w:val="Nadpis2"/>
        <w:keepLines w:val="0"/>
        <w:numPr>
          <w:ilvl w:val="0"/>
          <w:numId w:val="45"/>
        </w:numPr>
        <w:spacing w:before="360" w:after="100"/>
        <w:ind w:left="426" w:hanging="426"/>
        <w:rPr>
          <w:sz w:val="28"/>
          <w:szCs w:val="28"/>
        </w:rPr>
      </w:pPr>
      <w:r w:rsidRPr="00263713">
        <w:rPr>
          <w:sz w:val="28"/>
          <w:szCs w:val="28"/>
        </w:rPr>
        <w:t>Způsob prokazování plnění kritérií energetické náročnosti</w:t>
      </w:r>
    </w:p>
    <w:p w14:paraId="4A59DFAE" w14:textId="77777777" w:rsidR="00873035" w:rsidRDefault="00873035" w:rsidP="005B5DC7">
      <w:pPr>
        <w:spacing w:before="0" w:beforeAutospacing="0" w:after="120" w:afterAutospacing="0"/>
      </w:pPr>
      <w:r w:rsidRPr="0003616C">
        <w:t xml:space="preserve">Energetická kritéria se hodnotí </w:t>
      </w:r>
      <w:r>
        <w:t xml:space="preserve">na základě </w:t>
      </w:r>
      <w:r w:rsidRPr="00F056A7">
        <w:t>energetického posudku</w:t>
      </w:r>
      <w:r w:rsidRPr="00EF0899">
        <w:t xml:space="preserve"> dle vyhlášky </w:t>
      </w:r>
      <w:r w:rsidRPr="00F056A7">
        <w:t>č. 141/2021 Sb.</w:t>
      </w:r>
      <w:r w:rsidRPr="00EF0899">
        <w:t xml:space="preserve"> o energetickém posudku a o údajích vedených v </w:t>
      </w:r>
      <w:r>
        <w:t>s</w:t>
      </w:r>
      <w:r w:rsidRPr="00EF0899">
        <w:t>ystému monitoringu spotřeby energie</w:t>
      </w:r>
      <w:r>
        <w:t xml:space="preserve"> a předloženého průkazu energetické náročnosti budovy. </w:t>
      </w:r>
    </w:p>
    <w:p w14:paraId="74E70254" w14:textId="77777777" w:rsidR="00873035" w:rsidRDefault="00873035" w:rsidP="005B5DC7">
      <w:pPr>
        <w:spacing w:before="0" w:beforeAutospacing="0" w:after="120" w:afterAutospacing="0"/>
      </w:pPr>
      <w:r>
        <w:t xml:space="preserve">Plnění požadavků na energetickou náročnost se dále prokazuje </w:t>
      </w:r>
      <w:r w:rsidRPr="00F54D45">
        <w:t>Průkaz</w:t>
      </w:r>
      <w:r>
        <w:t>em</w:t>
      </w:r>
      <w:r w:rsidRPr="00F54D45">
        <w:t xml:space="preserve"> energetické náročnosti budovy</w:t>
      </w:r>
      <w:r>
        <w:t>, který</w:t>
      </w:r>
      <w:r w:rsidRPr="00F54D45">
        <w:t xml:space="preserve"> bude zpracován v souladu s vyhláškou č. 264/2020 Sb. na základě a v souladu s předloženou projektovou dokumentací pro stav po realizaci navržených opatření a v souladu s typickým profilem užívání. </w:t>
      </w:r>
      <w:r>
        <w:t>PENB je přílohou energetického posudku.</w:t>
      </w:r>
    </w:p>
    <w:p w14:paraId="5D5154D6" w14:textId="77777777" w:rsidR="00873035" w:rsidRDefault="00873035" w:rsidP="005B5DC7">
      <w:pPr>
        <w:spacing w:before="0" w:beforeAutospacing="0" w:after="120" w:afterAutospacing="0"/>
      </w:pPr>
      <w:r>
        <w:t>Mimo hlavní technická kritéria přijatelnosti projektů budou v rámci energetického posudku dále posouzena následující kritéria pro účely vykazování:</w:t>
      </w:r>
    </w:p>
    <w:p w14:paraId="14308D8E" w14:textId="77777777" w:rsidR="00873035" w:rsidRPr="000457E2" w:rsidRDefault="00873035" w:rsidP="005B5DC7">
      <w:pPr>
        <w:pStyle w:val="Odstavecseseznamem"/>
        <w:numPr>
          <w:ilvl w:val="0"/>
          <w:numId w:val="50"/>
        </w:numPr>
        <w:suppressAutoHyphens/>
        <w:spacing w:before="0" w:beforeAutospacing="0" w:after="0" w:afterAutospacing="0"/>
        <w:ind w:left="721" w:hanging="437"/>
        <w:contextualSpacing w:val="0"/>
        <w:rPr>
          <w:rFonts w:ascii="Times New Roman" w:eastAsia="Times New Roman" w:hAnsi="Times New Roman" w:cs="Times New Roman"/>
          <w:sz w:val="24"/>
          <w:szCs w:val="24"/>
        </w:rPr>
      </w:pPr>
      <w:r w:rsidRPr="000457E2">
        <w:rPr>
          <w:rFonts w:eastAsia="Times New Roman"/>
        </w:rPr>
        <w:t xml:space="preserve">úspora primární energie z neobnovitelných zdrojů (v % nebo </w:t>
      </w:r>
      <w:proofErr w:type="spellStart"/>
      <w:r w:rsidRPr="000457E2">
        <w:rPr>
          <w:rFonts w:eastAsia="Times New Roman"/>
        </w:rPr>
        <w:t>MWh</w:t>
      </w:r>
      <w:proofErr w:type="spellEnd"/>
      <w:r w:rsidRPr="000457E2">
        <w:rPr>
          <w:rFonts w:eastAsia="Times New Roman"/>
        </w:rPr>
        <w:t>/r), pokud nebude jedním z hlavních hodnotících kritérií</w:t>
      </w:r>
    </w:p>
    <w:p w14:paraId="25B34513" w14:textId="77777777" w:rsidR="00873035" w:rsidRPr="000457E2" w:rsidRDefault="00873035" w:rsidP="005B5DC7">
      <w:pPr>
        <w:pStyle w:val="Odstavecseseznamem"/>
        <w:numPr>
          <w:ilvl w:val="0"/>
          <w:numId w:val="50"/>
        </w:numPr>
        <w:suppressAutoHyphens/>
        <w:spacing w:before="0" w:beforeAutospacing="0" w:after="0" w:afterAutospacing="0"/>
        <w:ind w:left="721" w:hanging="437"/>
        <w:contextualSpacing w:val="0"/>
        <w:rPr>
          <w:rFonts w:eastAsia="Times New Roman"/>
        </w:rPr>
      </w:pPr>
      <w:r w:rsidRPr="000457E2">
        <w:rPr>
          <w:rFonts w:eastAsia="Times New Roman"/>
        </w:rPr>
        <w:t>výkon instalovaných obnovitelných zdrojů (v kW špičkového výkonu)</w:t>
      </w:r>
    </w:p>
    <w:p w14:paraId="696D9E20" w14:textId="77777777" w:rsidR="00873035" w:rsidRPr="000457E2" w:rsidRDefault="00873035" w:rsidP="005B5DC7">
      <w:pPr>
        <w:pStyle w:val="Odstavecseseznamem"/>
        <w:numPr>
          <w:ilvl w:val="0"/>
          <w:numId w:val="50"/>
        </w:numPr>
        <w:suppressAutoHyphens/>
        <w:spacing w:before="0" w:beforeAutospacing="0" w:after="0" w:afterAutospacing="0"/>
        <w:ind w:left="721" w:hanging="437"/>
        <w:contextualSpacing w:val="0"/>
        <w:rPr>
          <w:rFonts w:eastAsia="Times New Roman"/>
        </w:rPr>
      </w:pPr>
      <w:r w:rsidRPr="000457E2">
        <w:rPr>
          <w:rFonts w:eastAsia="Times New Roman"/>
        </w:rPr>
        <w:t>úspora CO</w:t>
      </w:r>
      <w:r w:rsidRPr="000457E2">
        <w:rPr>
          <w:rFonts w:eastAsia="Times New Roman"/>
          <w:vertAlign w:val="subscript"/>
        </w:rPr>
        <w:t>2</w:t>
      </w:r>
      <w:r w:rsidRPr="000457E2">
        <w:rPr>
          <w:rFonts w:eastAsia="Times New Roman"/>
        </w:rPr>
        <w:t xml:space="preserve"> (v % nebo t CO</w:t>
      </w:r>
      <w:r w:rsidRPr="000457E2">
        <w:rPr>
          <w:rFonts w:eastAsia="Times New Roman"/>
          <w:vertAlign w:val="subscript"/>
        </w:rPr>
        <w:t>2</w:t>
      </w:r>
      <w:r w:rsidRPr="000457E2">
        <w:rPr>
          <w:rFonts w:eastAsia="Times New Roman"/>
        </w:rPr>
        <w:t>/rok)</w:t>
      </w:r>
    </w:p>
    <w:p w14:paraId="2D58229E" w14:textId="2D25CD73" w:rsidR="00873035" w:rsidRPr="000457E2" w:rsidRDefault="00873035" w:rsidP="005B5DC7">
      <w:pPr>
        <w:pStyle w:val="Odstavecseseznamem"/>
        <w:numPr>
          <w:ilvl w:val="0"/>
          <w:numId w:val="50"/>
        </w:numPr>
        <w:suppressAutoHyphens/>
        <w:spacing w:before="0" w:beforeAutospacing="0" w:after="0" w:afterAutospacing="0"/>
        <w:ind w:left="721" w:hanging="437"/>
        <w:contextualSpacing w:val="0"/>
        <w:rPr>
          <w:rFonts w:eastAsia="Times New Roman"/>
        </w:rPr>
      </w:pPr>
      <w:r w:rsidRPr="000457E2">
        <w:rPr>
          <w:rFonts w:eastAsia="Times New Roman"/>
        </w:rPr>
        <w:t>vytápěný objem budovy (m</w:t>
      </w:r>
      <w:r w:rsidRPr="000457E2">
        <w:rPr>
          <w:rFonts w:eastAsia="Times New Roman"/>
          <w:vertAlign w:val="superscript"/>
        </w:rPr>
        <w:t>3</w:t>
      </w:r>
      <w:r w:rsidRPr="000457E2">
        <w:rPr>
          <w:rFonts w:eastAsia="Times New Roman"/>
        </w:rPr>
        <w:t>) z PENB nebo obestavěný prostor – kvůli nastavení vnitřního indikátoru</w:t>
      </w:r>
    </w:p>
    <w:p w14:paraId="2934DDF1" w14:textId="77777777" w:rsidR="00873035" w:rsidRPr="00263713" w:rsidRDefault="00873035" w:rsidP="00263713">
      <w:pPr>
        <w:pStyle w:val="Nadpis2"/>
        <w:keepLines w:val="0"/>
        <w:numPr>
          <w:ilvl w:val="0"/>
          <w:numId w:val="45"/>
        </w:numPr>
        <w:spacing w:before="360" w:after="100"/>
        <w:ind w:left="426" w:hanging="426"/>
        <w:rPr>
          <w:sz w:val="28"/>
          <w:szCs w:val="28"/>
        </w:rPr>
      </w:pPr>
      <w:r w:rsidRPr="00263713">
        <w:rPr>
          <w:sz w:val="28"/>
          <w:szCs w:val="28"/>
        </w:rPr>
        <w:lastRenderedPageBreak/>
        <w:t>Metodika k energetickému posudku a průkazu energetické náročnosti budovy</w:t>
      </w:r>
    </w:p>
    <w:p w14:paraId="6C333885" w14:textId="77777777" w:rsidR="00873035" w:rsidRDefault="00873035" w:rsidP="00263713">
      <w:pPr>
        <w:pStyle w:val="Odstavecseseznamem"/>
        <w:numPr>
          <w:ilvl w:val="0"/>
          <w:numId w:val="48"/>
        </w:numPr>
        <w:suppressAutoHyphens/>
        <w:spacing w:before="0" w:after="0"/>
        <w:ind w:hanging="436"/>
        <w:contextualSpacing w:val="0"/>
      </w:pPr>
      <w:r>
        <w:t>Projektová dokumentace</w:t>
      </w:r>
    </w:p>
    <w:p w14:paraId="040C3B95" w14:textId="3F61E4CF" w:rsidR="00873035" w:rsidRDefault="00873035" w:rsidP="00263713">
      <w:pPr>
        <w:ind w:left="709"/>
      </w:pPr>
      <w:r>
        <w:t xml:space="preserve">Rozsah stavební dokumentace podané k žádosti o dotaci nemusí odpovídat projektu pro stavební povolení, ale může být </w:t>
      </w:r>
      <w:r w:rsidRPr="00986FC7">
        <w:t>formou</w:t>
      </w:r>
      <w:r w:rsidRPr="00C20FD2">
        <w:rPr>
          <w:b/>
          <w:bCs/>
        </w:rPr>
        <w:t xml:space="preserve"> projektové studie</w:t>
      </w:r>
      <w:r>
        <w:t>. V projektové studii musejí být uvedeny a zakresleny všechny rozhodné skutečnosti pro posouzení kritérií programu a musí být dostatečná pro zpracování energetického posudku a průkazu energetické náročnosti budovy</w:t>
      </w:r>
      <w:r w:rsidRPr="000457E2">
        <w:t xml:space="preserve">. Před uvolněním finančních prostředků musí být požadována minimálně dokumentace pro výběr zhotovitele dle vyhlášky č. 499/2006 Sb. o dokumentaci staveb a musí být závazek, že budova bude provedena a zkolaudována dle kritérií </w:t>
      </w:r>
      <w:r w:rsidR="000457E2">
        <w:t>Výzvy</w:t>
      </w:r>
      <w:r w:rsidRPr="000457E2">
        <w:t>.</w:t>
      </w:r>
    </w:p>
    <w:p w14:paraId="659D9822" w14:textId="77777777" w:rsidR="00873035" w:rsidRDefault="00873035" w:rsidP="00263713">
      <w:pPr>
        <w:pStyle w:val="Odstavecseseznamem"/>
        <w:numPr>
          <w:ilvl w:val="0"/>
          <w:numId w:val="48"/>
        </w:numPr>
        <w:suppressAutoHyphens/>
        <w:spacing w:before="0" w:after="0"/>
        <w:ind w:hanging="436"/>
        <w:contextualSpacing w:val="0"/>
      </w:pPr>
      <w:r w:rsidRPr="00F54D45">
        <w:t>Energetický posudek</w:t>
      </w:r>
    </w:p>
    <w:p w14:paraId="69E2307B" w14:textId="7AE77E57" w:rsidR="00873035" w:rsidRDefault="00873035" w:rsidP="00263713">
      <w:pPr>
        <w:ind w:left="709"/>
      </w:pPr>
      <w:r>
        <w:t xml:space="preserve">V souladu s vyhláškou č.141/2021 Sb. ve znění pozdějších předpisů budou dodefinovány metodické body pro jeho zpracování, které doplní znění vyhlášky a zajistí jeho zpracování v souladu s podmínkami </w:t>
      </w:r>
      <w:r w:rsidR="000457E2">
        <w:t>Výzvy</w:t>
      </w:r>
      <w:r>
        <w:t>.</w:t>
      </w:r>
    </w:p>
    <w:p w14:paraId="256AE09C" w14:textId="39FA7961" w:rsidR="00873035" w:rsidRPr="0069036C" w:rsidRDefault="00873035" w:rsidP="00A14A41">
      <w:pPr>
        <w:spacing w:before="0" w:beforeAutospacing="0" w:after="120" w:afterAutospacing="0"/>
        <w:ind w:left="709"/>
        <w:rPr>
          <w:b/>
        </w:rPr>
      </w:pPr>
      <w:r w:rsidRPr="0069036C">
        <w:rPr>
          <w:b/>
        </w:rPr>
        <w:t>Výchozí stav energetické bilance budovy se stanovuje:</w:t>
      </w:r>
    </w:p>
    <w:p w14:paraId="1037992A" w14:textId="4F5795A0" w:rsidR="00873035" w:rsidRDefault="00873035" w:rsidP="00A14A41">
      <w:pPr>
        <w:pStyle w:val="Odstavecseseznamem"/>
        <w:numPr>
          <w:ilvl w:val="0"/>
          <w:numId w:val="44"/>
        </w:numPr>
        <w:spacing w:before="0" w:beforeAutospacing="0" w:after="120" w:afterAutospacing="0"/>
        <w:ind w:left="1134" w:hanging="425"/>
        <w:contextualSpacing w:val="0"/>
      </w:pPr>
      <w:r>
        <w:t>V případě výstavby nové budovy nebo uplatnění požadavků na výstavbu nových budov se jedná o referenční budovu dle vyhlášky č. 264/2020 Sb., tedy faktický legislativní požadavek v okamžiku podání žádosti o stavební povolení (dle zákona č.</w:t>
      </w:r>
      <w:r w:rsidR="00961C5C">
        <w:t xml:space="preserve"> </w:t>
      </w:r>
      <w:r>
        <w:t>406/2000 Sb.)</w:t>
      </w:r>
    </w:p>
    <w:p w14:paraId="3FFBA797" w14:textId="77777777" w:rsidR="00873035" w:rsidRDefault="00873035" w:rsidP="00A14A41">
      <w:pPr>
        <w:pStyle w:val="Odstavecseseznamem"/>
        <w:numPr>
          <w:ilvl w:val="0"/>
          <w:numId w:val="44"/>
        </w:numPr>
        <w:spacing w:before="0" w:beforeAutospacing="0" w:after="120" w:afterAutospacing="0"/>
        <w:ind w:left="1134" w:hanging="425"/>
        <w:contextualSpacing w:val="0"/>
      </w:pPr>
      <w:r>
        <w:t>V případě změny dokončené budovy:</w:t>
      </w:r>
    </w:p>
    <w:p w14:paraId="345922B3" w14:textId="77777777" w:rsidR="00873035" w:rsidRPr="0085793D" w:rsidRDefault="00873035" w:rsidP="00A14A41">
      <w:pPr>
        <w:pStyle w:val="Odstavecseseznamem"/>
        <w:numPr>
          <w:ilvl w:val="1"/>
          <w:numId w:val="44"/>
        </w:numPr>
        <w:spacing w:before="0" w:beforeAutospacing="0" w:after="120" w:afterAutospacing="0"/>
        <w:ind w:left="1418" w:hanging="284"/>
        <w:contextualSpacing w:val="0"/>
      </w:pPr>
      <w:r w:rsidRPr="0085793D">
        <w:t>Na základě historie spotřeby energie s úpravou pomocí normalizace relevantních proměnných a průkazu energetické náročnosti budovy dle vyhlášky č. 264/2020 Sb. zpracovaném pro výchozí stav budovy na základě normalizace provozu.</w:t>
      </w:r>
    </w:p>
    <w:p w14:paraId="5A94F482" w14:textId="106CC51A" w:rsidR="00873035" w:rsidRPr="0085793D" w:rsidRDefault="00873035" w:rsidP="00A14A41">
      <w:pPr>
        <w:pStyle w:val="Odstavecseseznamem"/>
        <w:numPr>
          <w:ilvl w:val="1"/>
          <w:numId w:val="44"/>
        </w:numPr>
        <w:spacing w:before="0" w:beforeAutospacing="0" w:after="120" w:afterAutospacing="0"/>
        <w:ind w:left="1418" w:hanging="284"/>
        <w:contextualSpacing w:val="0"/>
      </w:pPr>
      <w:r>
        <w:t>V</w:t>
      </w:r>
      <w:r w:rsidRPr="0085793D">
        <w:t xml:space="preserve">ýchozí stav </w:t>
      </w:r>
      <w:r>
        <w:t xml:space="preserve">se </w:t>
      </w:r>
      <w:r w:rsidRPr="0085793D">
        <w:t xml:space="preserve">stanoví z provozního stavu projektu po realizaci opatření (shodný způsob typického profilu užívání) pro budovy s technickými vlastními obálky budovy a technických systémů odpovídajícím stávajícímu stavu budovy. V případě přístaveb a nástaveb se technické vlastnosti konstrukcí a technických systémů uvažují na úrovni parametrů </w:t>
      </w:r>
      <w:r>
        <w:t xml:space="preserve">referenční budovy dle tabulky </w:t>
      </w:r>
      <w:r w:rsidRPr="0085793D">
        <w:t>1 Přílohy č.</w:t>
      </w:r>
      <w:r w:rsidR="00961C5C">
        <w:t xml:space="preserve"> </w:t>
      </w:r>
      <w:r w:rsidRPr="0085793D">
        <w:t>1 vyhlášky č.</w:t>
      </w:r>
      <w:r>
        <w:t xml:space="preserve"> </w:t>
      </w:r>
      <w:r w:rsidRPr="0085793D">
        <w:t>264/2020 Sb.</w:t>
      </w:r>
    </w:p>
    <w:p w14:paraId="1F750402" w14:textId="37D22EB8" w:rsidR="00873035" w:rsidRDefault="00873035" w:rsidP="00A14A41">
      <w:pPr>
        <w:pStyle w:val="Odstavecseseznamem"/>
        <w:numPr>
          <w:ilvl w:val="1"/>
          <w:numId w:val="44"/>
        </w:numPr>
        <w:spacing w:before="0" w:beforeAutospacing="0" w:after="120" w:afterAutospacing="0"/>
        <w:ind w:left="1418" w:hanging="284"/>
        <w:contextualSpacing w:val="0"/>
      </w:pPr>
      <w:r w:rsidRPr="0085793D">
        <w:t>V případě uplatnění požadavků na energetickou náročnost budovy odpovídajících výstavbě nové budovy</w:t>
      </w:r>
      <w:r>
        <w:t xml:space="preserve"> (např. dle §</w:t>
      </w:r>
      <w:r w:rsidR="00961C5C">
        <w:t xml:space="preserve"> </w:t>
      </w:r>
      <w:r>
        <w:t>6 odst. 3 vyhlášky č. 264/2020 Sb.)</w:t>
      </w:r>
      <w:r w:rsidRPr="0085793D">
        <w:t>, se za referenční stav pro stanovení výchozí stavu považuje realizace budovy odpovídající požadavkům na budovu s téměř nulovou spotřebou energie dle vyhlášky č.</w:t>
      </w:r>
      <w:r w:rsidR="00961C5C">
        <w:t xml:space="preserve"> </w:t>
      </w:r>
      <w:r w:rsidRPr="0085793D">
        <w:t>264/2020 Sb.</w:t>
      </w:r>
      <w:r>
        <w:t>, tedy na úrovni minimálního legislativního požadavku.</w:t>
      </w:r>
    </w:p>
    <w:p w14:paraId="67277FF7" w14:textId="77777777" w:rsidR="008A2AAC" w:rsidRDefault="008A2AAC" w:rsidP="00A14A41">
      <w:pPr>
        <w:spacing w:before="0" w:beforeAutospacing="0" w:after="120" w:afterAutospacing="0"/>
      </w:pPr>
    </w:p>
    <w:p w14:paraId="69645099" w14:textId="77777777" w:rsidR="00873035" w:rsidRPr="00F54D45" w:rsidRDefault="00873035" w:rsidP="00A14A41">
      <w:pPr>
        <w:pStyle w:val="Odstavecseseznamem"/>
        <w:numPr>
          <w:ilvl w:val="0"/>
          <w:numId w:val="48"/>
        </w:numPr>
        <w:suppressAutoHyphens/>
        <w:spacing w:before="0" w:after="0"/>
        <w:ind w:hanging="436"/>
        <w:contextualSpacing w:val="0"/>
      </w:pPr>
      <w:r w:rsidRPr="00F54D45">
        <w:t>Průkaz energetické náročnosti budovy včetně příloh (protokolů)</w:t>
      </w:r>
    </w:p>
    <w:p w14:paraId="4874EDD3" w14:textId="77777777" w:rsidR="00873035" w:rsidRDefault="00873035" w:rsidP="00A14A41">
      <w:pPr>
        <w:ind w:left="709"/>
      </w:pPr>
      <w:r w:rsidRPr="00F54D45">
        <w:t>Průkaz energetické náročnosti budovy bude zpracován v souladu s vyhláškou č. 264/2020 Sb. na základě a v souladu s předloženou projektovou dokumentací pro stav po realizaci navržených opatření a v souladu s typickým profilem užívání. PENB musí obsahovat evidenční číslo.</w:t>
      </w:r>
    </w:p>
    <w:p w14:paraId="48D4953D" w14:textId="4A8E8565" w:rsidR="00873035" w:rsidRDefault="00873035" w:rsidP="00A14A41">
      <w:pPr>
        <w:ind w:left="709"/>
      </w:pPr>
      <w:r w:rsidRPr="00EF0899">
        <w:lastRenderedPageBreak/>
        <w:t>V případě změny projektu mající vliv na energetické ukazatele uvedené v</w:t>
      </w:r>
      <w:r>
        <w:t> </w:t>
      </w:r>
      <w:r w:rsidRPr="00EF0899">
        <w:t>PENB</w:t>
      </w:r>
      <w:r>
        <w:t xml:space="preserve"> </w:t>
      </w:r>
      <w:r w:rsidRPr="00EF0899">
        <w:t>je žadatel povinen změny projektu projednat se stavebním úřadem formou změny stavby před dokončením a předložit přehled provedených změn, projektovou dokumentaci skutečného stavu a doložit plnění závazných požadavků programu průkazem energetické náročnosti budovy dle skutečného stavu</w:t>
      </w:r>
      <w:r>
        <w:t>.</w:t>
      </w:r>
    </w:p>
    <w:p w14:paraId="1E6E19FB" w14:textId="77777777" w:rsidR="00873035" w:rsidRDefault="00873035" w:rsidP="00A14A41">
      <w:pPr>
        <w:pStyle w:val="Odstavecseseznamem"/>
        <w:numPr>
          <w:ilvl w:val="0"/>
          <w:numId w:val="48"/>
        </w:numPr>
        <w:suppressAutoHyphens/>
        <w:spacing w:before="0" w:after="0"/>
        <w:ind w:hanging="436"/>
        <w:contextualSpacing w:val="0"/>
      </w:pPr>
      <w:r>
        <w:t>Kumulativní propočet</w:t>
      </w:r>
    </w:p>
    <w:p w14:paraId="00E77D57" w14:textId="0E7D1DE3" w:rsidR="00873035" w:rsidRDefault="00873035" w:rsidP="00A14A41">
      <w:pPr>
        <w:ind w:left="709"/>
      </w:pPr>
      <w:r>
        <w:t xml:space="preserve">Obsahuje vymezení investičních nákladů zahrnující jednotlivé podporované aktivity na základě projektové studie nebo projektové dokumentace. </w:t>
      </w:r>
    </w:p>
    <w:p w14:paraId="5DD8FCB1" w14:textId="77777777" w:rsidR="00A14A41" w:rsidRDefault="00A14A41" w:rsidP="00A14A41">
      <w:pPr>
        <w:ind w:left="709"/>
      </w:pPr>
    </w:p>
    <w:p w14:paraId="4BC02D33" w14:textId="77777777" w:rsidR="00873035" w:rsidRPr="00263713" w:rsidRDefault="00873035" w:rsidP="00263713">
      <w:pPr>
        <w:pStyle w:val="Nadpis2"/>
        <w:keepLines w:val="0"/>
        <w:numPr>
          <w:ilvl w:val="0"/>
          <w:numId w:val="45"/>
        </w:numPr>
        <w:spacing w:before="360" w:after="100"/>
        <w:ind w:left="426" w:hanging="426"/>
        <w:rPr>
          <w:sz w:val="28"/>
          <w:szCs w:val="28"/>
        </w:rPr>
      </w:pPr>
      <w:r w:rsidRPr="00263713">
        <w:rPr>
          <w:sz w:val="28"/>
          <w:szCs w:val="28"/>
        </w:rPr>
        <w:t>Vybrané právní předpisy a jejich podmínky související s cílem zmírňování změny klimatu DNSH</w:t>
      </w:r>
    </w:p>
    <w:p w14:paraId="2692D905" w14:textId="77777777" w:rsidR="00873035" w:rsidRPr="00931535" w:rsidRDefault="00873035" w:rsidP="00873035">
      <w:r w:rsidRPr="00931535">
        <w:t xml:space="preserve">V případě realizace </w:t>
      </w:r>
      <w:r w:rsidRPr="00A14A41">
        <w:rPr>
          <w:b/>
        </w:rPr>
        <w:t>elektrických nebo plynových tepelných čerpadel, kotlů na zemní plyn nebo jednotky pro kombinovanou výrobu elektřiny a tepla</w:t>
      </w:r>
      <w:r w:rsidRPr="00931535">
        <w:t xml:space="preserve"> musí zařízení splňovat parametry definované nařízením Komise (EU) č. 813/2013, kterým se provádí směrnice Evropského parlamentu a Rady 2009/125/ES, pokud jde o požadavky na </w:t>
      </w:r>
      <w:proofErr w:type="spellStart"/>
      <w:r w:rsidRPr="00931535">
        <w:t>ekodesign</w:t>
      </w:r>
      <w:proofErr w:type="spellEnd"/>
      <w:r w:rsidRPr="00931535">
        <w:t xml:space="preserve"> ohřívačů pro vytápění vnitřních prostorů a kombinovaných ohřívačů (požadavky od 26. 9. 2018). </w:t>
      </w:r>
    </w:p>
    <w:p w14:paraId="6A9C4B70" w14:textId="77777777" w:rsidR="00873035" w:rsidRPr="00931535" w:rsidRDefault="00873035" w:rsidP="00873035">
      <w:r w:rsidRPr="00931535">
        <w:t xml:space="preserve">V případě realizace </w:t>
      </w:r>
      <w:r w:rsidRPr="00A14A41">
        <w:rPr>
          <w:b/>
        </w:rPr>
        <w:t>solárních termických soustav</w:t>
      </w:r>
      <w:r w:rsidRPr="00931535">
        <w:t xml:space="preserve"> musí zařízení splňovat požadavky ČSN EN ISO 9806 a solární kolektory splňují minimální hodnotu účinnosti </w:t>
      </w:r>
      <w:proofErr w:type="spellStart"/>
      <w:r w:rsidRPr="00931535">
        <w:t>η</w:t>
      </w:r>
      <w:r w:rsidRPr="00931535">
        <w:rPr>
          <w:vertAlign w:val="subscript"/>
        </w:rPr>
        <w:t>sk</w:t>
      </w:r>
      <w:proofErr w:type="spellEnd"/>
      <w:r w:rsidRPr="00931535">
        <w:t xml:space="preserve"> dle vyhlášky č. 441/2012 Sb., o stanovení minimální účinnosti užití energie při výrobě elektřiny a tepelné energie za podmínky slunečního ozáření 1000 W.m</w:t>
      </w:r>
      <w:r w:rsidRPr="00931535">
        <w:rPr>
          <w:vertAlign w:val="superscript"/>
        </w:rPr>
        <w:t>-2</w:t>
      </w:r>
      <w:r w:rsidRPr="00931535">
        <w:t xml:space="preserve">. </w:t>
      </w:r>
    </w:p>
    <w:p w14:paraId="0906F17D" w14:textId="77777777" w:rsidR="00873035" w:rsidRPr="00931535" w:rsidRDefault="00873035" w:rsidP="00873035">
      <w:r w:rsidRPr="00931535">
        <w:t xml:space="preserve">V případě realizace </w:t>
      </w:r>
      <w:r w:rsidRPr="00A14A41">
        <w:rPr>
          <w:b/>
        </w:rPr>
        <w:t>kotle na biomasu</w:t>
      </w:r>
      <w:r w:rsidRPr="00931535">
        <w:t xml:space="preserve"> musí zařízení splňovat požadavky Nařízení komise č. 2015/1189 ze dne 28. dubna 2015, kterým se provádí směrnice Evropského parlamentu a Rady 2009/125/ES, pokud jde o požadavky na </w:t>
      </w:r>
      <w:proofErr w:type="spellStart"/>
      <w:r w:rsidRPr="00931535">
        <w:t>ekodesign</w:t>
      </w:r>
      <w:proofErr w:type="spellEnd"/>
      <w:r w:rsidRPr="00931535">
        <w:t xml:space="preserve"> kotlů na tuhá paliva (požadavky od 1. 1. 2020). </w:t>
      </w:r>
    </w:p>
    <w:p w14:paraId="6A6B0E2B" w14:textId="77777777" w:rsidR="00873035" w:rsidRDefault="00873035" w:rsidP="00873035">
      <w:r w:rsidRPr="00931535">
        <w:t xml:space="preserve">V případě realizace </w:t>
      </w:r>
      <w:r w:rsidRPr="00A14A41">
        <w:rPr>
          <w:b/>
        </w:rPr>
        <w:t>systémů nuceného větrání</w:t>
      </w:r>
      <w:r w:rsidRPr="00931535">
        <w:t xml:space="preserve"> musí zařízení splňovat parametry definované nařízením Komise (EU) č. 1253/2014 ze dne 7. července 2014, kterým se provádí směrnice Evropského parlamentu a Rady 2009/125/ES, pokud jde o požadavky na </w:t>
      </w:r>
      <w:proofErr w:type="spellStart"/>
      <w:r w:rsidRPr="00931535">
        <w:t>ekodesign</w:t>
      </w:r>
      <w:proofErr w:type="spellEnd"/>
      <w:r w:rsidRPr="00931535">
        <w:t xml:space="preserve"> větracích jednotek. U zařízení s rekuperací odpadního tepla se splnění požadavku definuje na základě suché účinnost zpětného získávání tepla (rekuperátoru) dle ČSN EN 308. </w:t>
      </w:r>
    </w:p>
    <w:p w14:paraId="280B6595" w14:textId="3C3823CA" w:rsidR="00873035" w:rsidRDefault="00873035" w:rsidP="00873035">
      <w:r>
        <w:t>Podporovány budou pouze výrobny elektrické energie umístěné na střešní konstrukci nebo na obvodové zdi budovy, spojené se zemí pevným základem a evidované v katastru nemovitostí. Výjimku tvoří projekty, kde z technických důvodů nelze potřebný výkon instalovat přímo na budovu (musí být zdůvodněno v projektové dokumentaci). Zde je možné využít i jiné stávající zpevněné plochy v bezprostřední blízkosti budovy či areálu budov.</w:t>
      </w:r>
    </w:p>
    <w:p w14:paraId="50C1C5AA" w14:textId="77777777" w:rsidR="00A14A41" w:rsidRPr="00931535" w:rsidRDefault="00A14A41" w:rsidP="00873035"/>
    <w:sectPr w:rsidR="00A14A41" w:rsidRPr="00931535" w:rsidSect="00CC5E40">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EB66E" w14:textId="77777777" w:rsidR="00FC5DEE" w:rsidRDefault="00FC5DEE" w:rsidP="00677FE0">
      <w:pPr>
        <w:spacing w:after="0"/>
      </w:pPr>
      <w:r>
        <w:separator/>
      </w:r>
    </w:p>
  </w:endnote>
  <w:endnote w:type="continuationSeparator" w:id="0">
    <w:p w14:paraId="5A923825" w14:textId="77777777" w:rsidR="00FC5DEE" w:rsidRDefault="00FC5DEE" w:rsidP="00677F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923423"/>
      <w:docPartObj>
        <w:docPartGallery w:val="Page Numbers (Bottom of Page)"/>
        <w:docPartUnique/>
      </w:docPartObj>
    </w:sdtPr>
    <w:sdtEndPr/>
    <w:sdtContent>
      <w:p w14:paraId="4447B54E" w14:textId="3A2FE937" w:rsidR="00675802" w:rsidRDefault="007149A1" w:rsidP="007149A1">
        <w:pPr>
          <w:pStyle w:val="Zpat"/>
          <w:tabs>
            <w:tab w:val="left" w:pos="3690"/>
            <w:tab w:val="right" w:pos="9638"/>
          </w:tabs>
          <w:jc w:val="left"/>
        </w:pPr>
        <w:r>
          <w:tab/>
        </w:r>
        <w:r>
          <w:tab/>
        </w:r>
        <w:r>
          <w:tab/>
        </w:r>
        <w:r>
          <w:tab/>
        </w:r>
        <w:r w:rsidR="00675802">
          <w:fldChar w:fldCharType="begin"/>
        </w:r>
        <w:r w:rsidR="00675802">
          <w:instrText>PAGE   \* MERGEFORMAT</w:instrText>
        </w:r>
        <w:r w:rsidR="00675802">
          <w:fldChar w:fldCharType="separate"/>
        </w:r>
        <w:r w:rsidR="00093F99">
          <w:rPr>
            <w:noProof/>
          </w:rPr>
          <w:t>8</w:t>
        </w:r>
        <w:r w:rsidR="00675802">
          <w:fldChar w:fldCharType="end"/>
        </w:r>
      </w:p>
    </w:sdtContent>
  </w:sdt>
  <w:p w14:paraId="28C4E349" w14:textId="77777777" w:rsidR="00675802" w:rsidRDefault="006758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8AA12" w14:textId="77777777" w:rsidR="00FC5DEE" w:rsidRDefault="00FC5DEE" w:rsidP="00677FE0">
      <w:pPr>
        <w:spacing w:after="0"/>
      </w:pPr>
      <w:r>
        <w:separator/>
      </w:r>
    </w:p>
  </w:footnote>
  <w:footnote w:type="continuationSeparator" w:id="0">
    <w:p w14:paraId="4660D425" w14:textId="77777777" w:rsidR="00FC5DEE" w:rsidRDefault="00FC5DEE" w:rsidP="00677F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368A" w14:textId="77777777" w:rsidR="00675802" w:rsidRPr="00A7633A" w:rsidRDefault="00675802" w:rsidP="0066390D">
    <w:pPr>
      <w:pStyle w:val="Zhlav"/>
      <w:tabs>
        <w:tab w:val="clear" w:pos="4536"/>
        <w:tab w:val="clear" w:pos="9072"/>
        <w:tab w:val="center" w:pos="4320"/>
        <w:tab w:val="right" w:pos="8640"/>
      </w:tabs>
      <w:overflowPunct w:val="0"/>
      <w:autoSpaceDE w:val="0"/>
      <w:autoSpaceDN w:val="0"/>
      <w:adjustRightInd w:val="0"/>
      <w:jc w:val="center"/>
      <w:textAlignment w:val="baseline"/>
      <w:rPr>
        <w:rFonts w:eastAsia="Times New Roman"/>
        <w:lang w:eastAsia="cs-CZ"/>
      </w:rPr>
    </w:pPr>
    <w:r>
      <w:rPr>
        <w:noProof/>
        <w:lang w:eastAsia="cs-CZ"/>
      </w:rPr>
      <w:drawing>
        <wp:anchor distT="0" distB="0" distL="114300" distR="114300" simplePos="0" relativeHeight="251662336" behindDoc="0" locked="0" layoutInCell="1" allowOverlap="1" wp14:anchorId="163828BF" wp14:editId="037FEE59">
          <wp:simplePos x="0" y="0"/>
          <wp:positionH relativeFrom="margin">
            <wp:posOffset>4972050</wp:posOffset>
          </wp:positionH>
          <wp:positionV relativeFrom="paragraph">
            <wp:posOffset>8890</wp:posOffset>
          </wp:positionV>
          <wp:extent cx="1152525" cy="533400"/>
          <wp:effectExtent l="0" t="0" r="9525" b="0"/>
          <wp:wrapNone/>
          <wp:docPr id="93" name="Obrázek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inline distT="0" distB="0" distL="0" distR="0" wp14:anchorId="5DE78055" wp14:editId="05D63DF2">
          <wp:extent cx="1857375" cy="523875"/>
          <wp:effectExtent l="0" t="0" r="9525" b="9525"/>
          <wp:docPr id="94" name="Obrázek 94"/>
          <wp:cNvGraphicFramePr/>
          <a:graphic xmlns:a="http://schemas.openxmlformats.org/drawingml/2006/main">
            <a:graphicData uri="http://schemas.openxmlformats.org/drawingml/2006/picture">
              <pic:pic xmlns:pic="http://schemas.openxmlformats.org/drawingml/2006/picture">
                <pic:nvPicPr>
                  <pic:cNvPr id="26" name="Obrázek 26"/>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7375" cy="523875"/>
                  </a:xfrm>
                  <a:prstGeom prst="rect">
                    <a:avLst/>
                  </a:prstGeom>
                </pic:spPr>
              </pic:pic>
            </a:graphicData>
          </a:graphic>
        </wp:inline>
      </w:drawing>
    </w:r>
    <w:r>
      <w:rPr>
        <w:noProof/>
        <w:lang w:eastAsia="cs-CZ"/>
      </w:rPr>
      <w:drawing>
        <wp:anchor distT="0" distB="0" distL="114300" distR="114300" simplePos="0" relativeHeight="251661312" behindDoc="0" locked="0" layoutInCell="1" allowOverlap="1" wp14:anchorId="64519EA2" wp14:editId="2A3FA410">
          <wp:simplePos x="0" y="0"/>
          <wp:positionH relativeFrom="margin">
            <wp:posOffset>0</wp:posOffset>
          </wp:positionH>
          <wp:positionV relativeFrom="paragraph">
            <wp:posOffset>-635</wp:posOffset>
          </wp:positionV>
          <wp:extent cx="952199" cy="508514"/>
          <wp:effectExtent l="0" t="0" r="635" b="6350"/>
          <wp:wrapNone/>
          <wp:docPr id="95" name="Obrázek 95" descr="Loga Ministerstva průmyslu a obchodu | 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a Ministerstva průmyslu a obchodu | M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345" cy="5139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645DD" w14:textId="77777777" w:rsidR="00675802" w:rsidRPr="003F2644" w:rsidRDefault="006758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3818B6"/>
    <w:multiLevelType w:val="hybridMultilevel"/>
    <w:tmpl w:val="41E42164"/>
    <w:lvl w:ilvl="0" w:tplc="F1FABF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08C23B5"/>
    <w:multiLevelType w:val="multilevel"/>
    <w:tmpl w:val="E8A48D7C"/>
    <w:numStyleLink w:val="VariantaA-sla"/>
  </w:abstractNum>
  <w:abstractNum w:abstractNumId="7" w15:restartNumberingAfterBreak="0">
    <w:nsid w:val="02E83A8B"/>
    <w:multiLevelType w:val="multilevel"/>
    <w:tmpl w:val="E8BAE50A"/>
    <w:numStyleLink w:val="VariantaA-odrky"/>
  </w:abstractNum>
  <w:abstractNum w:abstractNumId="8" w15:restartNumberingAfterBreak="0">
    <w:nsid w:val="039111DD"/>
    <w:multiLevelType w:val="hybridMultilevel"/>
    <w:tmpl w:val="DAE293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402680D"/>
    <w:multiLevelType w:val="multilevel"/>
    <w:tmpl w:val="E8BAE50A"/>
    <w:numStyleLink w:val="VariantaA-odrky"/>
  </w:abstractNum>
  <w:abstractNum w:abstractNumId="1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1" w15:restartNumberingAfterBreak="0">
    <w:nsid w:val="0479347F"/>
    <w:multiLevelType w:val="multilevel"/>
    <w:tmpl w:val="3320A8B2"/>
    <w:numStyleLink w:val="VariantaB-odrky"/>
  </w:abstractNum>
  <w:abstractNum w:abstractNumId="12" w15:restartNumberingAfterBreak="0">
    <w:nsid w:val="048B6D96"/>
    <w:multiLevelType w:val="multilevel"/>
    <w:tmpl w:val="8C1ED712"/>
    <w:lvl w:ilvl="0">
      <w:start w:val="1"/>
      <w:numFmt w:val="decimal"/>
      <w:lvlText w:val="%1."/>
      <w:lvlJc w:val="left"/>
      <w:pPr>
        <w:ind w:left="360" w:hanging="360"/>
      </w:pPr>
      <w:rPr>
        <w:rFonts w:hint="default"/>
      </w:rPr>
    </w:lvl>
    <w:lvl w:ilvl="1">
      <w:start w:val="1"/>
      <w:numFmt w:val="decimal"/>
      <w:pStyle w:val="Styl-Nadpis2"/>
      <w:lvlText w:val="10.%2."/>
      <w:lvlJc w:val="left"/>
      <w:pPr>
        <w:ind w:left="792" w:hanging="432"/>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4D643EE"/>
    <w:multiLevelType w:val="multilevel"/>
    <w:tmpl w:val="E8A48D7C"/>
    <w:numStyleLink w:val="VariantaA-sla"/>
  </w:abstractNum>
  <w:abstractNum w:abstractNumId="14" w15:restartNumberingAfterBreak="0">
    <w:nsid w:val="09FB26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D4BBA"/>
    <w:multiLevelType w:val="multilevel"/>
    <w:tmpl w:val="E8BAE50A"/>
    <w:numStyleLink w:val="VariantaA-odrky"/>
  </w:abstractNum>
  <w:abstractNum w:abstractNumId="16"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0E5329F7"/>
    <w:multiLevelType w:val="hybridMultilevel"/>
    <w:tmpl w:val="53542D3A"/>
    <w:lvl w:ilvl="0" w:tplc="F1FABF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0BD5A1F"/>
    <w:multiLevelType w:val="hybridMultilevel"/>
    <w:tmpl w:val="49C0B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20D29D1"/>
    <w:multiLevelType w:val="hybridMultilevel"/>
    <w:tmpl w:val="C2803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2AF6897"/>
    <w:multiLevelType w:val="hybridMultilevel"/>
    <w:tmpl w:val="8C984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130316F8"/>
    <w:multiLevelType w:val="multilevel"/>
    <w:tmpl w:val="3320A8B2"/>
    <w:numStyleLink w:val="VariantaB-odrky"/>
  </w:abstractNum>
  <w:abstractNum w:abstractNumId="22" w15:restartNumberingAfterBreak="0">
    <w:nsid w:val="13FB2F1F"/>
    <w:multiLevelType w:val="multilevel"/>
    <w:tmpl w:val="E8BAE50A"/>
    <w:numStyleLink w:val="VariantaA-odrky"/>
  </w:abstractNum>
  <w:abstractNum w:abstractNumId="23" w15:restartNumberingAfterBreak="0">
    <w:nsid w:val="15587B24"/>
    <w:multiLevelType w:val="multilevel"/>
    <w:tmpl w:val="E8BAE50A"/>
    <w:numStyleLink w:val="VariantaA-odrky"/>
  </w:abstractNum>
  <w:abstractNum w:abstractNumId="24"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25" w15:restartNumberingAfterBreak="0">
    <w:nsid w:val="191872DA"/>
    <w:multiLevelType w:val="multilevel"/>
    <w:tmpl w:val="E8A48D7C"/>
    <w:numStyleLink w:val="VariantaA-sla"/>
  </w:abstractNum>
  <w:abstractNum w:abstractNumId="26" w15:restartNumberingAfterBreak="0">
    <w:nsid w:val="19987FCF"/>
    <w:multiLevelType w:val="multilevel"/>
    <w:tmpl w:val="0D8ABE32"/>
    <w:numStyleLink w:val="VariantaB-sla"/>
  </w:abstractNum>
  <w:abstractNum w:abstractNumId="27" w15:restartNumberingAfterBreak="0">
    <w:nsid w:val="1BCC0E27"/>
    <w:multiLevelType w:val="hybridMultilevel"/>
    <w:tmpl w:val="BDBEBF32"/>
    <w:lvl w:ilvl="0" w:tplc="4C54AE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3068A6"/>
    <w:multiLevelType w:val="multilevel"/>
    <w:tmpl w:val="3320A8B2"/>
    <w:numStyleLink w:val="VariantaB-odrky"/>
  </w:abstractNum>
  <w:abstractNum w:abstractNumId="29" w15:restartNumberingAfterBreak="0">
    <w:nsid w:val="1D464EC2"/>
    <w:multiLevelType w:val="multilevel"/>
    <w:tmpl w:val="E8BAE50A"/>
    <w:numStyleLink w:val="VariantaA-odrky"/>
  </w:abstractNum>
  <w:abstractNum w:abstractNumId="30" w15:restartNumberingAfterBreak="0">
    <w:nsid w:val="1EAB39CE"/>
    <w:multiLevelType w:val="multilevel"/>
    <w:tmpl w:val="E8BAE50A"/>
    <w:numStyleLink w:val="VariantaA-odrky"/>
  </w:abstractNum>
  <w:abstractNum w:abstractNumId="31" w15:restartNumberingAfterBreak="0">
    <w:nsid w:val="21F20A71"/>
    <w:multiLevelType w:val="multilevel"/>
    <w:tmpl w:val="9822D4C2"/>
    <w:lvl w:ilvl="0">
      <w:start w:val="1"/>
      <w:numFmt w:val="ordinal"/>
      <w:pStyle w:val="Styl6"/>
      <w:lvlText w:val="3.4.%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326243F"/>
    <w:multiLevelType w:val="hybridMultilevel"/>
    <w:tmpl w:val="5FFCC624"/>
    <w:lvl w:ilvl="0" w:tplc="1BEA5446">
      <w:start w:val="1"/>
      <w:numFmt w:val="upperLetter"/>
      <w:lvlText w:val="%1)"/>
      <w:lvlJc w:val="left"/>
      <w:pPr>
        <w:ind w:left="1800" w:hanging="360"/>
      </w:pPr>
      <w:rPr>
        <w:rFonts w:hint="default"/>
        <w:b/>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3" w15:restartNumberingAfterBreak="0">
    <w:nsid w:val="289A5EA2"/>
    <w:multiLevelType w:val="multilevel"/>
    <w:tmpl w:val="E8BAE50A"/>
    <w:numStyleLink w:val="VariantaA-odrky"/>
  </w:abstractNum>
  <w:abstractNum w:abstractNumId="34" w15:restartNumberingAfterBreak="0">
    <w:nsid w:val="28AB573E"/>
    <w:multiLevelType w:val="multilevel"/>
    <w:tmpl w:val="3320A8B2"/>
    <w:numStyleLink w:val="VariantaB-odrky"/>
  </w:abstractNum>
  <w:abstractNum w:abstractNumId="35" w15:restartNumberingAfterBreak="0">
    <w:nsid w:val="2A5F2D39"/>
    <w:multiLevelType w:val="multilevel"/>
    <w:tmpl w:val="E8BAE50A"/>
    <w:numStyleLink w:val="VariantaA-odrky"/>
  </w:abstractNum>
  <w:abstractNum w:abstractNumId="36" w15:restartNumberingAfterBreak="0">
    <w:nsid w:val="2B7139B0"/>
    <w:multiLevelType w:val="hybridMultilevel"/>
    <w:tmpl w:val="5C1C1A9E"/>
    <w:lvl w:ilvl="0" w:tplc="939E7E72">
      <w:start w:val="1"/>
      <w:numFmt w:val="upperRoman"/>
      <w:lvlText w:val="%1)"/>
      <w:lvlJc w:val="left"/>
      <w:pPr>
        <w:ind w:left="1440" w:hanging="72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2B7B3AA2"/>
    <w:multiLevelType w:val="hybridMultilevel"/>
    <w:tmpl w:val="38BAC030"/>
    <w:lvl w:ilvl="0" w:tplc="62B880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DBB2CE6"/>
    <w:multiLevelType w:val="multilevel"/>
    <w:tmpl w:val="E8BAE50A"/>
    <w:numStyleLink w:val="VariantaA-odrky"/>
  </w:abstractNum>
  <w:abstractNum w:abstractNumId="39" w15:restartNumberingAfterBreak="0">
    <w:nsid w:val="2EBC3196"/>
    <w:multiLevelType w:val="hybridMultilevel"/>
    <w:tmpl w:val="FF38BF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2674F14"/>
    <w:multiLevelType w:val="hybridMultilevel"/>
    <w:tmpl w:val="CC5EC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55131EF"/>
    <w:multiLevelType w:val="multilevel"/>
    <w:tmpl w:val="E8A48D7C"/>
    <w:numStyleLink w:val="VariantaA-sla"/>
  </w:abstractNum>
  <w:abstractNum w:abstractNumId="42" w15:restartNumberingAfterBreak="0">
    <w:nsid w:val="36C848CC"/>
    <w:multiLevelType w:val="hybridMultilevel"/>
    <w:tmpl w:val="FA52DE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3FC4AEA"/>
    <w:multiLevelType w:val="hybridMultilevel"/>
    <w:tmpl w:val="945CF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A25287D"/>
    <w:multiLevelType w:val="hybridMultilevel"/>
    <w:tmpl w:val="484E2F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A306389"/>
    <w:multiLevelType w:val="multilevel"/>
    <w:tmpl w:val="E8BAE50A"/>
    <w:numStyleLink w:val="VariantaA-odrky"/>
  </w:abstractNum>
  <w:abstractNum w:abstractNumId="46" w15:restartNumberingAfterBreak="0">
    <w:nsid w:val="4A89251A"/>
    <w:multiLevelType w:val="hybridMultilevel"/>
    <w:tmpl w:val="0802804C"/>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7" w15:restartNumberingAfterBreak="0">
    <w:nsid w:val="4DAD3316"/>
    <w:multiLevelType w:val="hybridMultilevel"/>
    <w:tmpl w:val="8744B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F9E177B"/>
    <w:multiLevelType w:val="hybridMultilevel"/>
    <w:tmpl w:val="F8125C7A"/>
    <w:lvl w:ilvl="0" w:tplc="F1FABF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3290926"/>
    <w:multiLevelType w:val="multilevel"/>
    <w:tmpl w:val="E8BAE50A"/>
    <w:numStyleLink w:val="VariantaA-odrky"/>
  </w:abstractNum>
  <w:abstractNum w:abstractNumId="51" w15:restartNumberingAfterBreak="0">
    <w:nsid w:val="533902EA"/>
    <w:multiLevelType w:val="multilevel"/>
    <w:tmpl w:val="E8BAE50A"/>
    <w:numStyleLink w:val="VariantaA-odrky"/>
  </w:abstractNum>
  <w:abstractNum w:abstractNumId="52" w15:restartNumberingAfterBreak="0">
    <w:nsid w:val="57005267"/>
    <w:multiLevelType w:val="hybridMultilevel"/>
    <w:tmpl w:val="1C3A4E02"/>
    <w:lvl w:ilvl="0" w:tplc="BF50DB6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71C11E2"/>
    <w:multiLevelType w:val="multilevel"/>
    <w:tmpl w:val="E8A48D7C"/>
    <w:numStyleLink w:val="VariantaA-sla"/>
  </w:abstractNum>
  <w:abstractNum w:abstractNumId="54"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55" w15:restartNumberingAfterBreak="0">
    <w:nsid w:val="5A11130F"/>
    <w:multiLevelType w:val="hybridMultilevel"/>
    <w:tmpl w:val="E404EF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15:restartNumberingAfterBreak="0">
    <w:nsid w:val="5A802204"/>
    <w:multiLevelType w:val="hybridMultilevel"/>
    <w:tmpl w:val="7136886C"/>
    <w:lvl w:ilvl="0" w:tplc="F1FABF60">
      <w:numFmt w:val="bullet"/>
      <w:lvlText w:val="−"/>
      <w:lvlJc w:val="left"/>
      <w:pPr>
        <w:ind w:left="360" w:hanging="360"/>
      </w:pPr>
      <w:rPr>
        <w:rFonts w:ascii="Calibri" w:eastAsiaTheme="minorHAnsi" w:hAnsi="Calibri" w:cs="Calibri" w:hint="default"/>
      </w:rPr>
    </w:lvl>
    <w:lvl w:ilvl="1" w:tplc="0CE05BEE">
      <w:numFmt w:val="bullet"/>
      <w:lvlText w:val="-"/>
      <w:lvlJc w:val="left"/>
      <w:pPr>
        <w:ind w:left="1420" w:hanging="700"/>
      </w:pPr>
      <w:rPr>
        <w:rFonts w:ascii="Calibri" w:eastAsiaTheme="minorHAnsi" w:hAnsi="Calibri" w:cs="Calibri"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5ABB7264"/>
    <w:multiLevelType w:val="hybridMultilevel"/>
    <w:tmpl w:val="76A637CC"/>
    <w:lvl w:ilvl="0" w:tplc="F792452A">
      <w:start w:val="1"/>
      <w:numFmt w:val="bullet"/>
      <w:lvlText w:val=""/>
      <w:lvlJc w:val="left"/>
      <w:pPr>
        <w:ind w:left="720" w:hanging="360"/>
      </w:pPr>
      <w:rPr>
        <w:rFonts w:ascii="Symbol" w:hAnsi="Symbol" w:hint="default"/>
      </w:rPr>
    </w:lvl>
    <w:lvl w:ilvl="1" w:tplc="BAFE2E4C">
      <w:start w:val="1"/>
      <w:numFmt w:val="bullet"/>
      <w:lvlText w:val="o"/>
      <w:lvlJc w:val="left"/>
      <w:pPr>
        <w:ind w:left="1440" w:hanging="360"/>
      </w:pPr>
      <w:rPr>
        <w:rFonts w:ascii="Courier New" w:hAnsi="Courier New" w:cs="Courier New" w:hint="default"/>
      </w:rPr>
    </w:lvl>
    <w:lvl w:ilvl="2" w:tplc="783E4516">
      <w:start w:val="1"/>
      <w:numFmt w:val="bullet"/>
      <w:lvlText w:val=""/>
      <w:lvlJc w:val="left"/>
      <w:pPr>
        <w:ind w:left="2160" w:hanging="360"/>
      </w:pPr>
      <w:rPr>
        <w:rFonts w:ascii="Wingdings" w:hAnsi="Wingdings" w:hint="default"/>
      </w:rPr>
    </w:lvl>
    <w:lvl w:ilvl="3" w:tplc="C4E0468C">
      <w:start w:val="1"/>
      <w:numFmt w:val="bullet"/>
      <w:lvlText w:val=""/>
      <w:lvlJc w:val="left"/>
      <w:pPr>
        <w:ind w:left="2880" w:hanging="360"/>
      </w:pPr>
      <w:rPr>
        <w:rFonts w:ascii="Symbol" w:hAnsi="Symbol" w:hint="default"/>
      </w:rPr>
    </w:lvl>
    <w:lvl w:ilvl="4" w:tplc="F5CAEB60">
      <w:start w:val="1"/>
      <w:numFmt w:val="bullet"/>
      <w:lvlText w:val="o"/>
      <w:lvlJc w:val="left"/>
      <w:pPr>
        <w:ind w:left="3600" w:hanging="360"/>
      </w:pPr>
      <w:rPr>
        <w:rFonts w:ascii="Courier New" w:hAnsi="Courier New" w:cs="Courier New" w:hint="default"/>
      </w:rPr>
    </w:lvl>
    <w:lvl w:ilvl="5" w:tplc="63DC7458">
      <w:start w:val="1"/>
      <w:numFmt w:val="bullet"/>
      <w:lvlText w:val=""/>
      <w:lvlJc w:val="left"/>
      <w:pPr>
        <w:ind w:left="4320" w:hanging="360"/>
      </w:pPr>
      <w:rPr>
        <w:rFonts w:ascii="Wingdings" w:hAnsi="Wingdings" w:hint="default"/>
      </w:rPr>
    </w:lvl>
    <w:lvl w:ilvl="6" w:tplc="DB562EEC">
      <w:start w:val="1"/>
      <w:numFmt w:val="bullet"/>
      <w:lvlText w:val=""/>
      <w:lvlJc w:val="left"/>
      <w:pPr>
        <w:ind w:left="5040" w:hanging="360"/>
      </w:pPr>
      <w:rPr>
        <w:rFonts w:ascii="Symbol" w:hAnsi="Symbol" w:hint="default"/>
      </w:rPr>
    </w:lvl>
    <w:lvl w:ilvl="7" w:tplc="691240AA">
      <w:start w:val="1"/>
      <w:numFmt w:val="bullet"/>
      <w:lvlText w:val="o"/>
      <w:lvlJc w:val="left"/>
      <w:pPr>
        <w:ind w:left="5760" w:hanging="360"/>
      </w:pPr>
      <w:rPr>
        <w:rFonts w:ascii="Courier New" w:hAnsi="Courier New" w:cs="Courier New" w:hint="default"/>
      </w:rPr>
    </w:lvl>
    <w:lvl w:ilvl="8" w:tplc="4AD2DA82">
      <w:start w:val="1"/>
      <w:numFmt w:val="bullet"/>
      <w:lvlText w:val=""/>
      <w:lvlJc w:val="left"/>
      <w:pPr>
        <w:ind w:left="6480" w:hanging="360"/>
      </w:pPr>
      <w:rPr>
        <w:rFonts w:ascii="Wingdings" w:hAnsi="Wingdings" w:hint="default"/>
      </w:rPr>
    </w:lvl>
  </w:abstractNum>
  <w:abstractNum w:abstractNumId="58" w15:restartNumberingAfterBreak="0">
    <w:nsid w:val="5AF35F43"/>
    <w:multiLevelType w:val="multilevel"/>
    <w:tmpl w:val="0D8ABE32"/>
    <w:numStyleLink w:val="VariantaB-sla"/>
  </w:abstractNum>
  <w:abstractNum w:abstractNumId="59" w15:restartNumberingAfterBreak="0">
    <w:nsid w:val="61BF29D9"/>
    <w:multiLevelType w:val="multilevel"/>
    <w:tmpl w:val="3D14970E"/>
    <w:lvl w:ilvl="0">
      <w:start w:val="2"/>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27141E3"/>
    <w:multiLevelType w:val="hybridMultilevel"/>
    <w:tmpl w:val="E6F0167C"/>
    <w:lvl w:ilvl="0" w:tplc="4E568B92">
      <w:start w:val="1"/>
      <w:numFmt w:val="bullet"/>
      <w:pStyle w:val="Odrkybod"/>
      <w:lvlText w:val=""/>
      <w:lvlJc w:val="left"/>
      <w:pPr>
        <w:ind w:left="720" w:hanging="360"/>
      </w:pPr>
      <w:rPr>
        <w:rFonts w:ascii="Symbol" w:hAnsi="Symbol" w:cs="Symbol" w:hint="default"/>
      </w:rPr>
    </w:lvl>
    <w:lvl w:ilvl="1" w:tplc="CD5E1996">
      <w:start w:val="1"/>
      <w:numFmt w:val="bullet"/>
      <w:pStyle w:val="Odrkykrouek"/>
      <w:lvlText w:val="o"/>
      <w:lvlJc w:val="left"/>
      <w:pPr>
        <w:ind w:left="1440" w:hanging="360"/>
      </w:pPr>
      <w:rPr>
        <w:rFonts w:ascii="Courier New" w:hAnsi="Courier New" w:cs="Courier New" w:hint="default"/>
      </w:rPr>
    </w:lvl>
    <w:lvl w:ilvl="2" w:tplc="149851E8">
      <w:start w:val="1"/>
      <w:numFmt w:val="bullet"/>
      <w:lvlText w:val=""/>
      <w:lvlJc w:val="left"/>
      <w:pPr>
        <w:ind w:left="2160" w:hanging="360"/>
      </w:pPr>
      <w:rPr>
        <w:rFonts w:ascii="Wingdings" w:hAnsi="Wingdings" w:cs="Wingdings" w:hint="default"/>
      </w:rPr>
    </w:lvl>
    <w:lvl w:ilvl="3" w:tplc="BBC404EC">
      <w:start w:val="1"/>
      <w:numFmt w:val="bullet"/>
      <w:lvlText w:val=""/>
      <w:lvlJc w:val="left"/>
      <w:pPr>
        <w:ind w:left="2880" w:hanging="360"/>
      </w:pPr>
      <w:rPr>
        <w:rFonts w:ascii="Symbol" w:hAnsi="Symbol" w:cs="Symbol" w:hint="default"/>
      </w:rPr>
    </w:lvl>
    <w:lvl w:ilvl="4" w:tplc="10FA977C">
      <w:start w:val="1"/>
      <w:numFmt w:val="bullet"/>
      <w:lvlText w:val="o"/>
      <w:lvlJc w:val="left"/>
      <w:pPr>
        <w:ind w:left="3600" w:hanging="360"/>
      </w:pPr>
      <w:rPr>
        <w:rFonts w:ascii="Courier New" w:hAnsi="Courier New" w:cs="Courier New" w:hint="default"/>
      </w:rPr>
    </w:lvl>
    <w:lvl w:ilvl="5" w:tplc="042ED7F0">
      <w:start w:val="1"/>
      <w:numFmt w:val="bullet"/>
      <w:lvlText w:val=""/>
      <w:lvlJc w:val="left"/>
      <w:pPr>
        <w:ind w:left="4320" w:hanging="360"/>
      </w:pPr>
      <w:rPr>
        <w:rFonts w:ascii="Wingdings" w:hAnsi="Wingdings" w:cs="Wingdings" w:hint="default"/>
      </w:rPr>
    </w:lvl>
    <w:lvl w:ilvl="6" w:tplc="BD90AF84">
      <w:start w:val="1"/>
      <w:numFmt w:val="bullet"/>
      <w:lvlText w:val=""/>
      <w:lvlJc w:val="left"/>
      <w:pPr>
        <w:ind w:left="5040" w:hanging="360"/>
      </w:pPr>
      <w:rPr>
        <w:rFonts w:ascii="Symbol" w:hAnsi="Symbol" w:cs="Symbol" w:hint="default"/>
      </w:rPr>
    </w:lvl>
    <w:lvl w:ilvl="7" w:tplc="12521354">
      <w:start w:val="1"/>
      <w:numFmt w:val="bullet"/>
      <w:lvlText w:val="o"/>
      <w:lvlJc w:val="left"/>
      <w:pPr>
        <w:ind w:left="5760" w:hanging="360"/>
      </w:pPr>
      <w:rPr>
        <w:rFonts w:ascii="Courier New" w:hAnsi="Courier New" w:cs="Courier New" w:hint="default"/>
      </w:rPr>
    </w:lvl>
    <w:lvl w:ilvl="8" w:tplc="C37E6234">
      <w:start w:val="1"/>
      <w:numFmt w:val="bullet"/>
      <w:lvlText w:val=""/>
      <w:lvlJc w:val="left"/>
      <w:pPr>
        <w:ind w:left="6480" w:hanging="360"/>
      </w:pPr>
      <w:rPr>
        <w:rFonts w:ascii="Wingdings" w:hAnsi="Wingdings" w:cs="Wingdings" w:hint="default"/>
      </w:rPr>
    </w:lvl>
  </w:abstractNum>
  <w:abstractNum w:abstractNumId="61" w15:restartNumberingAfterBreak="0">
    <w:nsid w:val="660C2EF5"/>
    <w:multiLevelType w:val="hybridMultilevel"/>
    <w:tmpl w:val="271E29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9076C6D"/>
    <w:multiLevelType w:val="hybridMultilevel"/>
    <w:tmpl w:val="CCBCE7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C7A5253"/>
    <w:multiLevelType w:val="hybridMultilevel"/>
    <w:tmpl w:val="484E2F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EB7424A"/>
    <w:multiLevelType w:val="hybridMultilevel"/>
    <w:tmpl w:val="AF689C38"/>
    <w:lvl w:ilvl="0" w:tplc="B61A816A">
      <w:start w:val="1"/>
      <w:numFmt w:val="bullet"/>
      <w:lvlText w:val=""/>
      <w:lvlJc w:val="left"/>
      <w:pPr>
        <w:ind w:left="720" w:hanging="360"/>
      </w:pPr>
      <w:rPr>
        <w:rFonts w:ascii="Symbol" w:hAnsi="Symbol" w:hint="default"/>
      </w:rPr>
    </w:lvl>
    <w:lvl w:ilvl="1" w:tplc="349838C6">
      <w:start w:val="1"/>
      <w:numFmt w:val="bullet"/>
      <w:lvlText w:val="o"/>
      <w:lvlJc w:val="left"/>
      <w:pPr>
        <w:ind w:left="1440" w:hanging="360"/>
      </w:pPr>
      <w:rPr>
        <w:rFonts w:ascii="Courier New" w:hAnsi="Courier New" w:hint="default"/>
      </w:rPr>
    </w:lvl>
    <w:lvl w:ilvl="2" w:tplc="93E2C228">
      <w:start w:val="1"/>
      <w:numFmt w:val="bullet"/>
      <w:lvlText w:val=""/>
      <w:lvlJc w:val="left"/>
      <w:pPr>
        <w:ind w:left="2160" w:hanging="360"/>
      </w:pPr>
      <w:rPr>
        <w:rFonts w:ascii="Wingdings" w:hAnsi="Wingdings" w:hint="default"/>
      </w:rPr>
    </w:lvl>
    <w:lvl w:ilvl="3" w:tplc="28F6AE60">
      <w:start w:val="1"/>
      <w:numFmt w:val="bullet"/>
      <w:lvlText w:val=""/>
      <w:lvlJc w:val="left"/>
      <w:pPr>
        <w:ind w:left="2880" w:hanging="360"/>
      </w:pPr>
      <w:rPr>
        <w:rFonts w:ascii="Symbol" w:hAnsi="Symbol" w:hint="default"/>
      </w:rPr>
    </w:lvl>
    <w:lvl w:ilvl="4" w:tplc="461ABB5C">
      <w:start w:val="1"/>
      <w:numFmt w:val="bullet"/>
      <w:lvlText w:val="o"/>
      <w:lvlJc w:val="left"/>
      <w:pPr>
        <w:ind w:left="3600" w:hanging="360"/>
      </w:pPr>
      <w:rPr>
        <w:rFonts w:ascii="Courier New" w:hAnsi="Courier New" w:hint="default"/>
      </w:rPr>
    </w:lvl>
    <w:lvl w:ilvl="5" w:tplc="4F9ED848">
      <w:start w:val="1"/>
      <w:numFmt w:val="bullet"/>
      <w:lvlText w:val=""/>
      <w:lvlJc w:val="left"/>
      <w:pPr>
        <w:ind w:left="4320" w:hanging="360"/>
      </w:pPr>
      <w:rPr>
        <w:rFonts w:ascii="Wingdings" w:hAnsi="Wingdings" w:hint="default"/>
      </w:rPr>
    </w:lvl>
    <w:lvl w:ilvl="6" w:tplc="C226BD94">
      <w:start w:val="1"/>
      <w:numFmt w:val="bullet"/>
      <w:lvlText w:val=""/>
      <w:lvlJc w:val="left"/>
      <w:pPr>
        <w:ind w:left="5040" w:hanging="360"/>
      </w:pPr>
      <w:rPr>
        <w:rFonts w:ascii="Symbol" w:hAnsi="Symbol" w:hint="default"/>
      </w:rPr>
    </w:lvl>
    <w:lvl w:ilvl="7" w:tplc="73727096">
      <w:start w:val="1"/>
      <w:numFmt w:val="bullet"/>
      <w:lvlText w:val="o"/>
      <w:lvlJc w:val="left"/>
      <w:pPr>
        <w:ind w:left="5760" w:hanging="360"/>
      </w:pPr>
      <w:rPr>
        <w:rFonts w:ascii="Courier New" w:hAnsi="Courier New" w:hint="default"/>
      </w:rPr>
    </w:lvl>
    <w:lvl w:ilvl="8" w:tplc="8B060A6C">
      <w:start w:val="1"/>
      <w:numFmt w:val="bullet"/>
      <w:lvlText w:val=""/>
      <w:lvlJc w:val="left"/>
      <w:pPr>
        <w:ind w:left="6480" w:hanging="360"/>
      </w:pPr>
      <w:rPr>
        <w:rFonts w:ascii="Wingdings" w:hAnsi="Wingdings" w:hint="default"/>
      </w:rPr>
    </w:lvl>
  </w:abstractNum>
  <w:abstractNum w:abstractNumId="65" w15:restartNumberingAfterBreak="0">
    <w:nsid w:val="75E11737"/>
    <w:multiLevelType w:val="hybridMultilevel"/>
    <w:tmpl w:val="C8F4CC36"/>
    <w:lvl w:ilvl="0" w:tplc="04050001">
      <w:start w:val="1"/>
      <w:numFmt w:val="bullet"/>
      <w:lvlText w:val=""/>
      <w:lvlJc w:val="left"/>
      <w:pPr>
        <w:ind w:left="720" w:hanging="360"/>
      </w:pPr>
      <w:rPr>
        <w:rFonts w:ascii="Symbol" w:hAnsi="Symbol" w:hint="default"/>
      </w:rPr>
    </w:lvl>
    <w:lvl w:ilvl="1" w:tplc="F1FABF60">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8FD5D5F"/>
    <w:multiLevelType w:val="hybridMultilevel"/>
    <w:tmpl w:val="966C271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7" w15:restartNumberingAfterBreak="0">
    <w:nsid w:val="7D283C08"/>
    <w:multiLevelType w:val="hybridMultilevel"/>
    <w:tmpl w:val="2D1CEE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DB274E1"/>
    <w:multiLevelType w:val="hybridMultilevel"/>
    <w:tmpl w:val="0F3E0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F3B3EEB"/>
    <w:multiLevelType w:val="multilevel"/>
    <w:tmpl w:val="8BAE203E"/>
    <w:lvl w:ilvl="0">
      <w:start w:val="1"/>
      <w:numFmt w:val="decimal"/>
      <w:lvlText w:val="%1."/>
      <w:lvlJc w:val="left"/>
      <w:pPr>
        <w:tabs>
          <w:tab w:val="num" w:pos="397"/>
        </w:tabs>
        <w:ind w:left="397" w:hanging="397"/>
      </w:pPr>
    </w:lvl>
    <w:lvl w:ilvl="1">
      <w:start w:val="1"/>
      <w:numFmt w:val="decimal"/>
      <w:lvlText w:val="%1.%2."/>
      <w:lvlJc w:val="left"/>
      <w:pPr>
        <w:tabs>
          <w:tab w:val="num" w:pos="-29"/>
        </w:tabs>
        <w:ind w:left="1105"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
        </w:tabs>
        <w:ind w:left="1928" w:hanging="708"/>
      </w:pPr>
      <w:rPr>
        <w:rFonts w:cs="Times New Roman"/>
        <w:bCs w:val="0"/>
        <w:i w:val="0"/>
        <w:iCs w:val="0"/>
        <w: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
        </w:tabs>
        <w:ind w:left="2863" w:hanging="708"/>
      </w:pPr>
    </w:lvl>
    <w:lvl w:ilvl="4">
      <w:start w:val="1"/>
      <w:numFmt w:val="decimal"/>
      <w:lvlText w:val="%1.%2.%3.%4.%5."/>
      <w:lvlJc w:val="left"/>
      <w:pPr>
        <w:tabs>
          <w:tab w:val="num" w:pos="-170"/>
        </w:tabs>
        <w:ind w:left="3680" w:hanging="708"/>
      </w:pPr>
    </w:lvl>
    <w:lvl w:ilvl="5">
      <w:start w:val="1"/>
      <w:numFmt w:val="decimal"/>
      <w:lvlText w:val="%1.%2.%3.%4.%5.%6."/>
      <w:lvlJc w:val="left"/>
      <w:pPr>
        <w:tabs>
          <w:tab w:val="num" w:pos="-170"/>
        </w:tabs>
        <w:ind w:left="4078" w:hanging="708"/>
      </w:pPr>
    </w:lvl>
    <w:lvl w:ilvl="6">
      <w:start w:val="1"/>
      <w:numFmt w:val="decimal"/>
      <w:lvlText w:val="%1.%2.%3.%4.%5.%6.%7."/>
      <w:lvlJc w:val="left"/>
      <w:pPr>
        <w:tabs>
          <w:tab w:val="num" w:pos="-170"/>
        </w:tabs>
        <w:ind w:left="4732" w:hanging="708"/>
      </w:pPr>
    </w:lvl>
    <w:lvl w:ilvl="7">
      <w:start w:val="1"/>
      <w:numFmt w:val="decimal"/>
      <w:lvlText w:val="%1.%2.%3.%4.%5.%6.%7.%8."/>
      <w:lvlJc w:val="left"/>
      <w:pPr>
        <w:tabs>
          <w:tab w:val="num" w:pos="-170"/>
        </w:tabs>
        <w:ind w:left="5440" w:hanging="708"/>
      </w:pPr>
    </w:lvl>
    <w:lvl w:ilvl="8">
      <w:start w:val="1"/>
      <w:numFmt w:val="decimal"/>
      <w:lvlText w:val="%1.%2.%3.%4.%5.%6.%7.%8.%9."/>
      <w:lvlJc w:val="left"/>
      <w:pPr>
        <w:tabs>
          <w:tab w:val="num" w:pos="-170"/>
        </w:tabs>
        <w:ind w:left="6148" w:hanging="708"/>
      </w:pPr>
    </w:lvl>
  </w:abstractNum>
  <w:num w:numId="1">
    <w:abstractNumId w:val="24"/>
  </w:num>
  <w:num w:numId="2">
    <w:abstractNumId w:val="54"/>
  </w:num>
  <w:num w:numId="3">
    <w:abstractNumId w:val="28"/>
  </w:num>
  <w:num w:numId="4">
    <w:abstractNumId w:val="22"/>
  </w:num>
  <w:num w:numId="5">
    <w:abstractNumId w:val="6"/>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48"/>
  </w:num>
  <w:num w:numId="7">
    <w:abstractNumId w:val="9"/>
  </w:num>
  <w:num w:numId="8">
    <w:abstractNumId w:val="53"/>
  </w:num>
  <w:num w:numId="9">
    <w:abstractNumId w:val="6"/>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51"/>
  </w:num>
  <w:num w:numId="14">
    <w:abstractNumId w:val="4"/>
  </w:num>
  <w:num w:numId="15">
    <w:abstractNumId w:val="3"/>
  </w:num>
  <w:num w:numId="16">
    <w:abstractNumId w:val="48"/>
  </w:num>
  <w:num w:numId="17">
    <w:abstractNumId w:val="29"/>
  </w:num>
  <w:num w:numId="18">
    <w:abstractNumId w:val="7"/>
  </w:num>
  <w:num w:numId="19">
    <w:abstractNumId w:val="16"/>
  </w:num>
  <w:num w:numId="20">
    <w:abstractNumId w:val="10"/>
  </w:num>
  <w:num w:numId="21">
    <w:abstractNumId w:val="41"/>
  </w:num>
  <w:num w:numId="22">
    <w:abstractNumId w:val="13"/>
  </w:num>
  <w:num w:numId="23">
    <w:abstractNumId w:val="30"/>
  </w:num>
  <w:num w:numId="24">
    <w:abstractNumId w:val="15"/>
  </w:num>
  <w:num w:numId="25">
    <w:abstractNumId w:val="23"/>
  </w:num>
  <w:num w:numId="26">
    <w:abstractNumId w:val="45"/>
  </w:num>
  <w:num w:numId="27">
    <w:abstractNumId w:val="38"/>
  </w:num>
  <w:num w:numId="28">
    <w:abstractNumId w:val="35"/>
  </w:num>
  <w:num w:numId="29">
    <w:abstractNumId w:val="26"/>
  </w:num>
  <w:num w:numId="30">
    <w:abstractNumId w:val="50"/>
  </w:num>
  <w:num w:numId="31">
    <w:abstractNumId w:val="58"/>
  </w:num>
  <w:num w:numId="32">
    <w:abstractNumId w:val="33"/>
  </w:num>
  <w:num w:numId="33">
    <w:abstractNumId w:val="25"/>
  </w:num>
  <w:num w:numId="34">
    <w:abstractNumId w:val="11"/>
  </w:num>
  <w:num w:numId="35">
    <w:abstractNumId w:val="34"/>
  </w:num>
  <w:num w:numId="36">
    <w:abstractNumId w:val="21"/>
  </w:num>
  <w:num w:numId="37">
    <w:abstractNumId w:val="64"/>
  </w:num>
  <w:num w:numId="38">
    <w:abstractNumId w:val="69"/>
  </w:num>
  <w:num w:numId="39">
    <w:abstractNumId w:val="27"/>
  </w:num>
  <w:num w:numId="40">
    <w:abstractNumId w:val="60"/>
  </w:num>
  <w:num w:numId="41">
    <w:abstractNumId w:val="20"/>
  </w:num>
  <w:num w:numId="42">
    <w:abstractNumId w:val="44"/>
  </w:num>
  <w:num w:numId="43">
    <w:abstractNumId w:val="18"/>
  </w:num>
  <w:num w:numId="44">
    <w:abstractNumId w:val="67"/>
  </w:num>
  <w:num w:numId="45">
    <w:abstractNumId w:val="14"/>
  </w:num>
  <w:num w:numId="46">
    <w:abstractNumId w:val="55"/>
  </w:num>
  <w:num w:numId="47">
    <w:abstractNumId w:val="63"/>
  </w:num>
  <w:num w:numId="48">
    <w:abstractNumId w:val="61"/>
  </w:num>
  <w:num w:numId="49">
    <w:abstractNumId w:val="46"/>
  </w:num>
  <w:num w:numId="50">
    <w:abstractNumId w:val="43"/>
  </w:num>
  <w:num w:numId="51">
    <w:abstractNumId w:val="40"/>
  </w:num>
  <w:num w:numId="52">
    <w:abstractNumId w:val="57"/>
  </w:num>
  <w:num w:numId="53">
    <w:abstractNumId w:val="52"/>
  </w:num>
  <w:num w:numId="54">
    <w:abstractNumId w:val="31"/>
  </w:num>
  <w:num w:numId="55">
    <w:abstractNumId w:val="59"/>
  </w:num>
  <w:num w:numId="56">
    <w:abstractNumId w:val="12"/>
  </w:num>
  <w:num w:numId="57">
    <w:abstractNumId w:val="68"/>
  </w:num>
  <w:num w:numId="58">
    <w:abstractNumId w:val="47"/>
  </w:num>
  <w:num w:numId="59">
    <w:abstractNumId w:val="36"/>
  </w:num>
  <w:num w:numId="60">
    <w:abstractNumId w:val="32"/>
  </w:num>
  <w:num w:numId="61">
    <w:abstractNumId w:val="62"/>
  </w:num>
  <w:num w:numId="62">
    <w:abstractNumId w:val="42"/>
  </w:num>
  <w:num w:numId="63">
    <w:abstractNumId w:val="39"/>
  </w:num>
  <w:num w:numId="64">
    <w:abstractNumId w:val="65"/>
  </w:num>
  <w:num w:numId="65">
    <w:abstractNumId w:val="8"/>
  </w:num>
  <w:num w:numId="66">
    <w:abstractNumId w:val="56"/>
  </w:num>
  <w:num w:numId="67">
    <w:abstractNumId w:val="17"/>
  </w:num>
  <w:num w:numId="68">
    <w:abstractNumId w:val="49"/>
  </w:num>
  <w:num w:numId="69">
    <w:abstractNumId w:val="5"/>
  </w:num>
  <w:num w:numId="70">
    <w:abstractNumId w:val="66"/>
  </w:num>
  <w:num w:numId="71">
    <w:abstractNumId w:val="37"/>
  </w:num>
  <w:num w:numId="72">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06"/>
    <w:rsid w:val="00015306"/>
    <w:rsid w:val="000163D3"/>
    <w:rsid w:val="00016658"/>
    <w:rsid w:val="0002674B"/>
    <w:rsid w:val="00030061"/>
    <w:rsid w:val="0004162E"/>
    <w:rsid w:val="00041E4D"/>
    <w:rsid w:val="000457E2"/>
    <w:rsid w:val="0004786B"/>
    <w:rsid w:val="00063405"/>
    <w:rsid w:val="000809B9"/>
    <w:rsid w:val="00090B40"/>
    <w:rsid w:val="00093F99"/>
    <w:rsid w:val="00095A0A"/>
    <w:rsid w:val="000B1B3D"/>
    <w:rsid w:val="000C4CAF"/>
    <w:rsid w:val="000E5B96"/>
    <w:rsid w:val="00121485"/>
    <w:rsid w:val="001268B0"/>
    <w:rsid w:val="0018051B"/>
    <w:rsid w:val="001B1E4A"/>
    <w:rsid w:val="001D27C0"/>
    <w:rsid w:val="001E74C3"/>
    <w:rsid w:val="001F6937"/>
    <w:rsid w:val="00220DE3"/>
    <w:rsid w:val="00224C08"/>
    <w:rsid w:val="0025290D"/>
    <w:rsid w:val="0025585C"/>
    <w:rsid w:val="002602DA"/>
    <w:rsid w:val="00260372"/>
    <w:rsid w:val="00262DAF"/>
    <w:rsid w:val="00263713"/>
    <w:rsid w:val="00285AED"/>
    <w:rsid w:val="002C1B27"/>
    <w:rsid w:val="002D412B"/>
    <w:rsid w:val="002E2442"/>
    <w:rsid w:val="002F0E8C"/>
    <w:rsid w:val="00310FA0"/>
    <w:rsid w:val="00320481"/>
    <w:rsid w:val="003250CB"/>
    <w:rsid w:val="00333C6C"/>
    <w:rsid w:val="0035309B"/>
    <w:rsid w:val="00363201"/>
    <w:rsid w:val="0039063C"/>
    <w:rsid w:val="003A0D2E"/>
    <w:rsid w:val="003A46A8"/>
    <w:rsid w:val="003A51AA"/>
    <w:rsid w:val="003B565A"/>
    <w:rsid w:val="003D00A1"/>
    <w:rsid w:val="003F2644"/>
    <w:rsid w:val="003F2DB5"/>
    <w:rsid w:val="0041427F"/>
    <w:rsid w:val="004509E5"/>
    <w:rsid w:val="00486FB9"/>
    <w:rsid w:val="00487EB3"/>
    <w:rsid w:val="004B1BA3"/>
    <w:rsid w:val="004B5FCB"/>
    <w:rsid w:val="004C212A"/>
    <w:rsid w:val="00500232"/>
    <w:rsid w:val="00504668"/>
    <w:rsid w:val="00520206"/>
    <w:rsid w:val="005455E1"/>
    <w:rsid w:val="005502BD"/>
    <w:rsid w:val="00556787"/>
    <w:rsid w:val="00582276"/>
    <w:rsid w:val="0059203C"/>
    <w:rsid w:val="005B5DC7"/>
    <w:rsid w:val="005C2560"/>
    <w:rsid w:val="005F7585"/>
    <w:rsid w:val="00605759"/>
    <w:rsid w:val="00620A1C"/>
    <w:rsid w:val="0064474D"/>
    <w:rsid w:val="00650C6C"/>
    <w:rsid w:val="00652FE6"/>
    <w:rsid w:val="0066390D"/>
    <w:rsid w:val="00667898"/>
    <w:rsid w:val="00674F9C"/>
    <w:rsid w:val="00675802"/>
    <w:rsid w:val="00677FE0"/>
    <w:rsid w:val="006875D0"/>
    <w:rsid w:val="006D04EF"/>
    <w:rsid w:val="006D2720"/>
    <w:rsid w:val="006E1097"/>
    <w:rsid w:val="006E2FB0"/>
    <w:rsid w:val="007102D2"/>
    <w:rsid w:val="00713948"/>
    <w:rsid w:val="007149A1"/>
    <w:rsid w:val="007208C2"/>
    <w:rsid w:val="00735300"/>
    <w:rsid w:val="00740AC8"/>
    <w:rsid w:val="00753A27"/>
    <w:rsid w:val="00757DA8"/>
    <w:rsid w:val="0079342A"/>
    <w:rsid w:val="007B4949"/>
    <w:rsid w:val="007B60C0"/>
    <w:rsid w:val="007D1731"/>
    <w:rsid w:val="007F0BC6"/>
    <w:rsid w:val="00831374"/>
    <w:rsid w:val="0085406D"/>
    <w:rsid w:val="00857580"/>
    <w:rsid w:val="00863C63"/>
    <w:rsid w:val="00865238"/>
    <w:rsid w:val="008667BF"/>
    <w:rsid w:val="00873035"/>
    <w:rsid w:val="00895645"/>
    <w:rsid w:val="008A2AAC"/>
    <w:rsid w:val="008A7851"/>
    <w:rsid w:val="008B1406"/>
    <w:rsid w:val="008C04BE"/>
    <w:rsid w:val="008C3782"/>
    <w:rsid w:val="008D4A32"/>
    <w:rsid w:val="008D4A5F"/>
    <w:rsid w:val="008D593A"/>
    <w:rsid w:val="008E7760"/>
    <w:rsid w:val="00922001"/>
    <w:rsid w:val="00922C17"/>
    <w:rsid w:val="00942DDD"/>
    <w:rsid w:val="009448EF"/>
    <w:rsid w:val="009516A8"/>
    <w:rsid w:val="00961C5C"/>
    <w:rsid w:val="0097705C"/>
    <w:rsid w:val="0098199F"/>
    <w:rsid w:val="00986851"/>
    <w:rsid w:val="009A046F"/>
    <w:rsid w:val="009D7FD7"/>
    <w:rsid w:val="009F393D"/>
    <w:rsid w:val="009F79E4"/>
    <w:rsid w:val="009F7F46"/>
    <w:rsid w:val="00A000BF"/>
    <w:rsid w:val="00A045BA"/>
    <w:rsid w:val="00A0587E"/>
    <w:rsid w:val="00A14A41"/>
    <w:rsid w:val="00A1635F"/>
    <w:rsid w:val="00A275BC"/>
    <w:rsid w:val="00A464B4"/>
    <w:rsid w:val="00A63D6B"/>
    <w:rsid w:val="00A84B52"/>
    <w:rsid w:val="00A8660F"/>
    <w:rsid w:val="00A95C48"/>
    <w:rsid w:val="00AA7056"/>
    <w:rsid w:val="00AB31C6"/>
    <w:rsid w:val="00AB523B"/>
    <w:rsid w:val="00AD7E40"/>
    <w:rsid w:val="00AE6034"/>
    <w:rsid w:val="00B1477A"/>
    <w:rsid w:val="00B20993"/>
    <w:rsid w:val="00B42E96"/>
    <w:rsid w:val="00B50EE6"/>
    <w:rsid w:val="00B52185"/>
    <w:rsid w:val="00B662FF"/>
    <w:rsid w:val="00B9753A"/>
    <w:rsid w:val="00BB479C"/>
    <w:rsid w:val="00BC4720"/>
    <w:rsid w:val="00BD75A2"/>
    <w:rsid w:val="00BE226F"/>
    <w:rsid w:val="00C1415C"/>
    <w:rsid w:val="00C1785E"/>
    <w:rsid w:val="00C2017A"/>
    <w:rsid w:val="00C2026B"/>
    <w:rsid w:val="00C20332"/>
    <w:rsid w:val="00C20470"/>
    <w:rsid w:val="00C34B2F"/>
    <w:rsid w:val="00C4641B"/>
    <w:rsid w:val="00C6690E"/>
    <w:rsid w:val="00C703C5"/>
    <w:rsid w:val="00C805F2"/>
    <w:rsid w:val="00C95334"/>
    <w:rsid w:val="00C96EFE"/>
    <w:rsid w:val="00CC5E40"/>
    <w:rsid w:val="00D1569F"/>
    <w:rsid w:val="00D20B1E"/>
    <w:rsid w:val="00D22462"/>
    <w:rsid w:val="00D230AC"/>
    <w:rsid w:val="00D32489"/>
    <w:rsid w:val="00D3349E"/>
    <w:rsid w:val="00D47A26"/>
    <w:rsid w:val="00D70F6B"/>
    <w:rsid w:val="00D73CB8"/>
    <w:rsid w:val="00DA7591"/>
    <w:rsid w:val="00DF6F12"/>
    <w:rsid w:val="00E14205"/>
    <w:rsid w:val="00E32798"/>
    <w:rsid w:val="00E33335"/>
    <w:rsid w:val="00E33CC8"/>
    <w:rsid w:val="00E51C91"/>
    <w:rsid w:val="00E667C1"/>
    <w:rsid w:val="00E76D7D"/>
    <w:rsid w:val="00EB4A20"/>
    <w:rsid w:val="00EC3F88"/>
    <w:rsid w:val="00ED36D8"/>
    <w:rsid w:val="00EE6BD7"/>
    <w:rsid w:val="00F0689D"/>
    <w:rsid w:val="00F41E84"/>
    <w:rsid w:val="00F951AE"/>
    <w:rsid w:val="00FB01B5"/>
    <w:rsid w:val="00FC5DEE"/>
    <w:rsid w:val="00FF0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D8E685"/>
  <w15:chartTrackingRefBased/>
  <w15:docId w15:val="{477EEE33-ED6F-4076-8E3E-FB502EFF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73035"/>
    <w:pPr>
      <w:spacing w:before="100" w:beforeAutospacing="1" w:after="100" w:afterAutospacing="1" w:line="240" w:lineRule="auto"/>
      <w:jc w:val="both"/>
    </w:pPr>
    <w:rPr>
      <w:rFonts w:eastAsiaTheme="minorEastAsia" w:cstheme="minorHAnsi"/>
    </w:rPr>
  </w:style>
  <w:style w:type="paragraph" w:styleId="Nadpis1">
    <w:name w:val="heading 1"/>
    <w:basedOn w:val="Normln"/>
    <w:next w:val="Normln"/>
    <w:link w:val="Nadpis1Char"/>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Odstavec_muj1"/>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style>
  <w:style w:type="paragraph" w:styleId="Obsah2">
    <w:name w:val="toc 2"/>
    <w:basedOn w:val="Normln"/>
    <w:next w:val="Normln"/>
    <w:autoRedefine/>
    <w:uiPriority w:val="39"/>
    <w:unhideWhenUsed/>
    <w:rsid w:val="00D22462"/>
    <w:pPr>
      <w:ind w:left="220"/>
    </w:pPr>
  </w:style>
  <w:style w:type="paragraph" w:styleId="Obsah3">
    <w:name w:val="toc 3"/>
    <w:basedOn w:val="Normln"/>
    <w:next w:val="Normln"/>
    <w:autoRedefine/>
    <w:uiPriority w:val="39"/>
    <w:unhideWhenUsed/>
    <w:rsid w:val="00D22462"/>
    <w:pPr>
      <w:ind w:left="440"/>
    </w:pPr>
  </w:style>
  <w:style w:type="paragraph" w:styleId="Obsah4">
    <w:name w:val="toc 4"/>
    <w:basedOn w:val="Normln"/>
    <w:next w:val="Normln"/>
    <w:autoRedefine/>
    <w:uiPriority w:val="39"/>
    <w:unhideWhenUsed/>
    <w:rsid w:val="00D22462"/>
    <w:pPr>
      <w:ind w:left="660"/>
    </w:pPr>
  </w:style>
  <w:style w:type="paragraph" w:styleId="Obsah5">
    <w:name w:val="toc 5"/>
    <w:basedOn w:val="Normln"/>
    <w:next w:val="Normln"/>
    <w:autoRedefine/>
    <w:uiPriority w:val="39"/>
    <w:unhideWhenUsed/>
    <w:rsid w:val="00D22462"/>
    <w:pPr>
      <w:ind w:left="880"/>
    </w:pPr>
  </w:style>
  <w:style w:type="paragraph" w:styleId="Obsah6">
    <w:name w:val="toc 6"/>
    <w:basedOn w:val="Normln"/>
    <w:next w:val="Normln"/>
    <w:autoRedefine/>
    <w:uiPriority w:val="39"/>
    <w:unhideWhenUsed/>
    <w:rsid w:val="00D22462"/>
    <w:pPr>
      <w:ind w:left="1100"/>
    </w:pPr>
  </w:style>
  <w:style w:type="paragraph" w:styleId="Obsah7">
    <w:name w:val="toc 7"/>
    <w:basedOn w:val="Normln"/>
    <w:next w:val="Normln"/>
    <w:autoRedefine/>
    <w:uiPriority w:val="39"/>
    <w:unhideWhenUsed/>
    <w:rsid w:val="00D22462"/>
    <w:pPr>
      <w:ind w:left="1320"/>
    </w:pPr>
  </w:style>
  <w:style w:type="paragraph" w:styleId="Obsah8">
    <w:name w:val="toc 8"/>
    <w:basedOn w:val="Normln"/>
    <w:next w:val="Normln"/>
    <w:autoRedefine/>
    <w:uiPriority w:val="39"/>
    <w:unhideWhenUsed/>
    <w:rsid w:val="00D22462"/>
    <w:pPr>
      <w:ind w:left="1540"/>
    </w:pPr>
  </w:style>
  <w:style w:type="paragraph" w:styleId="Obsah9">
    <w:name w:val="toc 9"/>
    <w:basedOn w:val="Normln"/>
    <w:next w:val="Normln"/>
    <w:autoRedefine/>
    <w:uiPriority w:val="39"/>
    <w:unhideWhenUsed/>
    <w:rsid w:val="00D22462"/>
    <w:pPr>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paragraph" w:styleId="Zhlav">
    <w:name w:val="header"/>
    <w:basedOn w:val="Normln"/>
    <w:link w:val="ZhlavChar"/>
    <w:uiPriority w:val="99"/>
    <w:unhideWhenUsed/>
    <w:rsid w:val="00677FE0"/>
    <w:pPr>
      <w:tabs>
        <w:tab w:val="center" w:pos="4536"/>
        <w:tab w:val="right" w:pos="9072"/>
      </w:tabs>
      <w:spacing w:after="0"/>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pPr>
  </w:style>
  <w:style w:type="character" w:customStyle="1" w:styleId="ZpatChar">
    <w:name w:val="Zápatí Char"/>
    <w:basedOn w:val="Standardnpsmoodstavce"/>
    <w:link w:val="Zpat"/>
    <w:uiPriority w:val="99"/>
    <w:rsid w:val="00677FE0"/>
    <w:rPr>
      <w:color w:val="000000" w:themeColor="text1"/>
    </w:rPr>
  </w:style>
  <w:style w:type="character" w:customStyle="1" w:styleId="a10">
    <w:name w:val="a10"/>
    <w:uiPriority w:val="99"/>
    <w:rsid w:val="00873035"/>
  </w:style>
  <w:style w:type="paragraph" w:customStyle="1" w:styleId="Odrkybod">
    <w:name w:val="Odrážky_bod"/>
    <w:basedOn w:val="Odstavecseseznamem"/>
    <w:link w:val="OdrkybodChar"/>
    <w:uiPriority w:val="99"/>
    <w:qFormat/>
    <w:rsid w:val="00873035"/>
    <w:pPr>
      <w:numPr>
        <w:numId w:val="40"/>
      </w:numPr>
      <w:spacing w:before="120" w:after="120" w:line="360" w:lineRule="auto"/>
      <w:contextualSpacing w:val="0"/>
    </w:pPr>
    <w:rPr>
      <w:rFonts w:ascii="Arial" w:eastAsia="Times New Roman" w:hAnsi="Arial" w:cs="Arial"/>
      <w:sz w:val="20"/>
      <w:lang w:eastAsia="cs-CZ"/>
    </w:rPr>
  </w:style>
  <w:style w:type="character" w:customStyle="1" w:styleId="OdrkybodChar">
    <w:name w:val="Odrážky_bod Char"/>
    <w:link w:val="Odrkybod"/>
    <w:uiPriority w:val="99"/>
    <w:qFormat/>
    <w:locked/>
    <w:rsid w:val="00873035"/>
    <w:rPr>
      <w:rFonts w:ascii="Arial" w:eastAsia="Times New Roman" w:hAnsi="Arial" w:cs="Arial"/>
      <w:sz w:val="20"/>
      <w:lang w:eastAsia="cs-CZ"/>
    </w:rPr>
  </w:style>
  <w:style w:type="paragraph" w:customStyle="1" w:styleId="Odrkykrouek">
    <w:name w:val="Odrážky_kroužek"/>
    <w:basedOn w:val="Odrkybod"/>
    <w:uiPriority w:val="99"/>
    <w:qFormat/>
    <w:rsid w:val="00873035"/>
    <w:pPr>
      <w:numPr>
        <w:ilvl w:val="1"/>
      </w:numPr>
      <w:tabs>
        <w:tab w:val="num" w:pos="360"/>
        <w:tab w:val="num" w:pos="720"/>
      </w:tabs>
      <w:ind w:left="737" w:hanging="737"/>
    </w:pPr>
  </w:style>
  <w:style w:type="paragraph" w:customStyle="1" w:styleId="Odrkya">
    <w:name w:val="Odrážky_a)"/>
    <w:basedOn w:val="Odstavecseseznamem"/>
    <w:next w:val="Normln"/>
    <w:link w:val="OdrkyaChar"/>
    <w:uiPriority w:val="99"/>
    <w:rsid w:val="00873035"/>
    <w:pPr>
      <w:spacing w:before="120" w:after="120" w:line="360" w:lineRule="auto"/>
      <w:ind w:left="0"/>
      <w:contextualSpacing w:val="0"/>
    </w:pPr>
    <w:rPr>
      <w:rFonts w:ascii="Arial" w:eastAsia="Times New Roman" w:hAnsi="Arial" w:cs="Arial"/>
      <w:sz w:val="20"/>
      <w:lang w:eastAsia="cs-CZ"/>
    </w:rPr>
  </w:style>
  <w:style w:type="character" w:customStyle="1" w:styleId="OdrkyaChar">
    <w:name w:val="Odrážky_a) Char"/>
    <w:link w:val="Odrkya"/>
    <w:uiPriority w:val="99"/>
    <w:locked/>
    <w:rsid w:val="00873035"/>
    <w:rPr>
      <w:rFonts w:ascii="Arial" w:eastAsia="Times New Roman" w:hAnsi="Arial" w:cs="Arial"/>
      <w:sz w:val="20"/>
      <w:lang w:eastAsia="cs-CZ"/>
    </w:rPr>
  </w:style>
  <w:style w:type="character" w:styleId="Odkaznakoment">
    <w:name w:val="annotation reference"/>
    <w:basedOn w:val="Standardnpsmoodstavce"/>
    <w:uiPriority w:val="99"/>
    <w:semiHidden/>
    <w:unhideWhenUsed/>
    <w:rsid w:val="00873035"/>
    <w:rPr>
      <w:sz w:val="16"/>
      <w:szCs w:val="16"/>
    </w:rPr>
  </w:style>
  <w:style w:type="paragraph" w:styleId="Textkomente">
    <w:name w:val="annotation text"/>
    <w:basedOn w:val="Normln"/>
    <w:link w:val="TextkomenteChar"/>
    <w:uiPriority w:val="99"/>
    <w:unhideWhenUsed/>
    <w:rsid w:val="00873035"/>
    <w:pPr>
      <w:spacing w:before="0" w:beforeAutospacing="0" w:after="160" w:afterAutospacing="0"/>
    </w:pPr>
    <w:rPr>
      <w:rFonts w:eastAsiaTheme="minorHAnsi" w:cstheme="minorBidi"/>
      <w:sz w:val="20"/>
      <w:szCs w:val="20"/>
    </w:rPr>
  </w:style>
  <w:style w:type="character" w:customStyle="1" w:styleId="TextkomenteChar">
    <w:name w:val="Text komentáře Char"/>
    <w:basedOn w:val="Standardnpsmoodstavce"/>
    <w:link w:val="Textkomente"/>
    <w:uiPriority w:val="99"/>
    <w:rsid w:val="00873035"/>
    <w:rPr>
      <w:sz w:val="20"/>
      <w:szCs w:val="20"/>
    </w:rPr>
  </w:style>
  <w:style w:type="character" w:customStyle="1" w:styleId="apple-converted-space">
    <w:name w:val="apple-converted-space"/>
    <w:basedOn w:val="Standardnpsmoodstavce"/>
    <w:rsid w:val="00873035"/>
  </w:style>
  <w:style w:type="character" w:styleId="PromnnHTML">
    <w:name w:val="HTML Variable"/>
    <w:basedOn w:val="Standardnpsmoodstavce"/>
    <w:uiPriority w:val="99"/>
    <w:semiHidden/>
    <w:unhideWhenUsed/>
    <w:rsid w:val="00873035"/>
    <w:rPr>
      <w:i/>
      <w:iCs/>
    </w:rPr>
  </w:style>
  <w:style w:type="paragraph" w:customStyle="1" w:styleId="Default">
    <w:name w:val="Default"/>
    <w:rsid w:val="008730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rsid w:val="00873035"/>
    <w:rPr>
      <w:color w:val="000000" w:themeColor="text1"/>
    </w:rPr>
  </w:style>
  <w:style w:type="paragraph" w:styleId="Textbubliny">
    <w:name w:val="Balloon Text"/>
    <w:basedOn w:val="Normln"/>
    <w:link w:val="TextbublinyChar"/>
    <w:uiPriority w:val="99"/>
    <w:semiHidden/>
    <w:unhideWhenUsed/>
    <w:rsid w:val="00873035"/>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3035"/>
    <w:rPr>
      <w:rFonts w:ascii="Segoe UI" w:eastAsiaTheme="minorEastAsia" w:hAnsi="Segoe UI" w:cs="Segoe UI"/>
      <w:sz w:val="18"/>
      <w:szCs w:val="18"/>
    </w:rPr>
  </w:style>
  <w:style w:type="paragraph" w:styleId="Pedmtkomente">
    <w:name w:val="annotation subject"/>
    <w:basedOn w:val="Textkomente"/>
    <w:next w:val="Textkomente"/>
    <w:link w:val="PedmtkomenteChar"/>
    <w:uiPriority w:val="99"/>
    <w:semiHidden/>
    <w:unhideWhenUsed/>
    <w:rsid w:val="00873035"/>
    <w:pPr>
      <w:spacing w:before="100" w:beforeAutospacing="1" w:after="100" w:afterAutospacing="1"/>
    </w:pPr>
    <w:rPr>
      <w:rFonts w:eastAsiaTheme="minorEastAsia" w:cstheme="minorHAnsi"/>
      <w:b/>
      <w:bCs/>
    </w:rPr>
  </w:style>
  <w:style w:type="character" w:customStyle="1" w:styleId="PedmtkomenteChar">
    <w:name w:val="Předmět komentáře Char"/>
    <w:basedOn w:val="TextkomenteChar"/>
    <w:link w:val="Pedmtkomente"/>
    <w:uiPriority w:val="99"/>
    <w:semiHidden/>
    <w:rsid w:val="00873035"/>
    <w:rPr>
      <w:rFonts w:eastAsiaTheme="minorEastAsia" w:cstheme="minorHAnsi"/>
      <w:b/>
      <w:bCs/>
      <w:sz w:val="20"/>
      <w:szCs w:val="20"/>
    </w:rPr>
  </w:style>
  <w:style w:type="paragraph" w:customStyle="1" w:styleId="Vnitnadresa">
    <w:name w:val="Vnitřní adresa"/>
    <w:basedOn w:val="Normln"/>
    <w:rsid w:val="00E14205"/>
    <w:pPr>
      <w:spacing w:before="0" w:beforeAutospacing="0" w:after="0" w:afterAutospacing="0" w:line="220" w:lineRule="atLeast"/>
    </w:pPr>
    <w:rPr>
      <w:rFonts w:ascii="Times New Roman" w:eastAsia="Times New Roman" w:hAnsi="Times New Roman" w:cs="Times New Roman"/>
      <w:spacing w:val="-5"/>
      <w:sz w:val="24"/>
      <w:szCs w:val="20"/>
    </w:rPr>
  </w:style>
  <w:style w:type="paragraph" w:customStyle="1" w:styleId="Styl6">
    <w:name w:val="Styl6"/>
    <w:basedOn w:val="Normln"/>
    <w:qFormat/>
    <w:rsid w:val="0035309B"/>
    <w:pPr>
      <w:keepNext/>
      <w:numPr>
        <w:numId w:val="54"/>
      </w:numPr>
      <w:spacing w:before="280" w:beforeAutospacing="0" w:after="60" w:afterAutospacing="0" w:line="290" w:lineRule="auto"/>
      <w:contextualSpacing/>
      <w:outlineLvl w:val="1"/>
    </w:pPr>
    <w:rPr>
      <w:rFonts w:ascii="Times New Roman" w:eastAsia="Times New Roman" w:hAnsi="Times New Roman" w:cs="Times New Roman"/>
      <w:sz w:val="24"/>
      <w:szCs w:val="24"/>
      <w:lang w:eastAsia="cs-CZ"/>
    </w:rPr>
  </w:style>
  <w:style w:type="paragraph" w:customStyle="1" w:styleId="Styl-Nadpis2">
    <w:name w:val="Styl-Nadpis 2"/>
    <w:basedOn w:val="Normln"/>
    <w:link w:val="Styl-Nadpis2Char"/>
    <w:qFormat/>
    <w:rsid w:val="0035309B"/>
    <w:pPr>
      <w:numPr>
        <w:ilvl w:val="1"/>
        <w:numId w:val="56"/>
      </w:numPr>
      <w:spacing w:before="0" w:beforeAutospacing="0" w:after="200" w:afterAutospacing="0" w:line="276" w:lineRule="auto"/>
      <w:contextualSpacing/>
      <w:jc w:val="left"/>
    </w:pPr>
    <w:rPr>
      <w:rFonts w:ascii="Times New Roman" w:eastAsia="Calibri" w:hAnsi="Times New Roman" w:cs="Times New Roman"/>
      <w:sz w:val="20"/>
      <w:szCs w:val="20"/>
    </w:rPr>
  </w:style>
  <w:style w:type="character" w:customStyle="1" w:styleId="Styl-Nadpis2Char">
    <w:name w:val="Styl-Nadpis 2 Char"/>
    <w:link w:val="Styl-Nadpis2"/>
    <w:rsid w:val="0035309B"/>
    <w:rPr>
      <w:rFonts w:ascii="Times New Roman" w:eastAsia="Calibri" w:hAnsi="Times New Roman" w:cs="Times New Roman"/>
      <w:sz w:val="20"/>
      <w:szCs w:val="20"/>
    </w:rPr>
  </w:style>
  <w:style w:type="paragraph" w:styleId="Revize">
    <w:name w:val="Revision"/>
    <w:hidden/>
    <w:uiPriority w:val="99"/>
    <w:semiHidden/>
    <w:rsid w:val="00FF090F"/>
    <w:pPr>
      <w:spacing w:after="0" w:line="240" w:lineRule="auto"/>
    </w:pPr>
    <w:rPr>
      <w:rFonts w:eastAsiaTheme="minorEastAsia" w:cstheme="minorHAnsi"/>
    </w:rPr>
  </w:style>
  <w:style w:type="table" w:styleId="Mkatabulky">
    <w:name w:val="Table Grid"/>
    <w:basedOn w:val="Normlntabulka"/>
    <w:uiPriority w:val="39"/>
    <w:rsid w:val="00333C6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333C6C"/>
    <w:pPr>
      <w:spacing w:before="0" w:beforeAutospacing="0" w:after="0" w:afterAutospacing="0"/>
      <w:jc w:val="left"/>
    </w:pPr>
    <w:rPr>
      <w:rFonts w:eastAsiaTheme="minorHAnsi" w:cstheme="minorBidi"/>
      <w:sz w:val="20"/>
      <w:szCs w:val="24"/>
    </w:rPr>
  </w:style>
  <w:style w:type="character" w:customStyle="1" w:styleId="TextpoznpodarouChar">
    <w:name w:val="Text pozn. pod čarou Char"/>
    <w:basedOn w:val="Standardnpsmoodstavce"/>
    <w:link w:val="Textpoznpodarou"/>
    <w:uiPriority w:val="99"/>
    <w:semiHidden/>
    <w:rsid w:val="00333C6C"/>
    <w:rPr>
      <w:sz w:val="20"/>
      <w:szCs w:val="24"/>
    </w:rPr>
  </w:style>
  <w:style w:type="character" w:styleId="Znakapoznpodarou">
    <w:name w:val="footnote reference"/>
    <w:basedOn w:val="Standardnpsmoodstavce"/>
    <w:uiPriority w:val="99"/>
    <w:semiHidden/>
    <w:unhideWhenUsed/>
    <w:rsid w:val="00333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68FBF64A.dotm</Template>
  <TotalTime>1</TotalTime>
  <Pages>6</Pages>
  <Words>2400</Words>
  <Characters>14161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Zlatušková Alice</dc:creator>
  <cp:keywords/>
  <dc:description/>
  <cp:lastModifiedBy>Zlatušková Alice</cp:lastModifiedBy>
  <cp:revision>2</cp:revision>
  <cp:lastPrinted>2022-04-04T10:21:00Z</cp:lastPrinted>
  <dcterms:created xsi:type="dcterms:W3CDTF">2022-06-08T11:28:00Z</dcterms:created>
  <dcterms:modified xsi:type="dcterms:W3CDTF">2022-06-08T11:28:00Z</dcterms:modified>
</cp:coreProperties>
</file>